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4D63" w:rsidRDefault="00D24D63">
      <w:pPr>
        <w:jc w:val="center"/>
        <w:rPr>
          <w:b/>
          <w:bCs/>
          <w:sz w:val="40"/>
          <w:szCs w:val="40"/>
        </w:rPr>
      </w:pPr>
    </w:p>
    <w:p w14:paraId="00000002" w14:textId="77777777" w:rsidR="00D24D63" w:rsidRDefault="00D24D63">
      <w:pPr>
        <w:jc w:val="center"/>
        <w:rPr>
          <w:b/>
          <w:bCs/>
          <w:sz w:val="40"/>
          <w:szCs w:val="40"/>
        </w:rPr>
      </w:pPr>
    </w:p>
    <w:p w14:paraId="00000003" w14:textId="77777777" w:rsidR="00D24D63" w:rsidRDefault="001A3940">
      <w:pPr>
        <w:jc w:val="center"/>
        <w:rPr>
          <w:b/>
          <w:bCs/>
          <w:sz w:val="40"/>
          <w:szCs w:val="40"/>
        </w:rPr>
      </w:pPr>
      <w:r>
        <w:rPr>
          <w:b/>
          <w:bCs/>
          <w:sz w:val="40"/>
          <w:szCs w:val="40"/>
        </w:rPr>
        <w:t>Progressing beyond recycling for a circular economy</w:t>
      </w:r>
    </w:p>
    <w:p w14:paraId="00000004" w14:textId="77777777" w:rsidR="00D24D63" w:rsidRDefault="00D24D63">
      <w:pPr>
        <w:jc w:val="center"/>
        <w:rPr>
          <w:sz w:val="28"/>
          <w:szCs w:val="28"/>
        </w:rPr>
      </w:pPr>
    </w:p>
    <w:p w14:paraId="00000005" w14:textId="77777777" w:rsidR="00D24D63" w:rsidRDefault="00D24D63">
      <w:pPr>
        <w:jc w:val="center"/>
        <w:rPr>
          <w:sz w:val="28"/>
          <w:szCs w:val="28"/>
        </w:rPr>
      </w:pPr>
    </w:p>
    <w:p w14:paraId="00000006" w14:textId="77777777" w:rsidR="00D24D63" w:rsidRDefault="00D24D63">
      <w:pPr>
        <w:jc w:val="center"/>
        <w:rPr>
          <w:sz w:val="28"/>
          <w:szCs w:val="28"/>
        </w:rPr>
      </w:pPr>
    </w:p>
    <w:p w14:paraId="00000007" w14:textId="77777777" w:rsidR="00D24D63" w:rsidRDefault="00D24D63">
      <w:pPr>
        <w:jc w:val="center"/>
        <w:rPr>
          <w:sz w:val="28"/>
          <w:szCs w:val="28"/>
        </w:rPr>
      </w:pPr>
    </w:p>
    <w:p w14:paraId="00000008" w14:textId="77777777" w:rsidR="00D24D63" w:rsidRDefault="00D24D63">
      <w:pPr>
        <w:jc w:val="center"/>
        <w:rPr>
          <w:sz w:val="28"/>
          <w:szCs w:val="28"/>
        </w:rPr>
      </w:pPr>
    </w:p>
    <w:p w14:paraId="00000009" w14:textId="77777777" w:rsidR="00D24D63" w:rsidRDefault="00D24D63">
      <w:pPr>
        <w:jc w:val="center"/>
        <w:rPr>
          <w:sz w:val="28"/>
          <w:szCs w:val="28"/>
        </w:rPr>
      </w:pPr>
    </w:p>
    <w:p w14:paraId="0000000A" w14:textId="77777777" w:rsidR="00D24D63" w:rsidRDefault="00D24D63">
      <w:pPr>
        <w:jc w:val="center"/>
        <w:rPr>
          <w:sz w:val="28"/>
          <w:szCs w:val="28"/>
        </w:rPr>
      </w:pPr>
    </w:p>
    <w:p w14:paraId="0000000B" w14:textId="77777777" w:rsidR="00D24D63" w:rsidRDefault="00D24D63">
      <w:pPr>
        <w:jc w:val="center"/>
        <w:rPr>
          <w:sz w:val="28"/>
          <w:szCs w:val="28"/>
        </w:rPr>
      </w:pPr>
    </w:p>
    <w:p w14:paraId="0000000C" w14:textId="77777777" w:rsidR="00D24D63" w:rsidRDefault="00D24D63">
      <w:pPr>
        <w:jc w:val="center"/>
        <w:rPr>
          <w:sz w:val="28"/>
          <w:szCs w:val="28"/>
        </w:rPr>
      </w:pPr>
    </w:p>
    <w:p w14:paraId="0000000D" w14:textId="77777777" w:rsidR="00D24D63" w:rsidRDefault="001A3940">
      <w:pPr>
        <w:jc w:val="center"/>
        <w:rPr>
          <w:sz w:val="28"/>
          <w:szCs w:val="28"/>
        </w:rPr>
      </w:pPr>
      <w:r>
        <w:rPr>
          <w:sz w:val="28"/>
          <w:szCs w:val="28"/>
        </w:rPr>
        <w:t>Final Report</w:t>
      </w:r>
    </w:p>
    <w:p w14:paraId="0000000F" w14:textId="77777777" w:rsidR="00D24D63" w:rsidRDefault="00D24D63">
      <w:pPr>
        <w:jc w:val="center"/>
      </w:pPr>
    </w:p>
    <w:p w14:paraId="00000010" w14:textId="77777777" w:rsidR="00D24D63" w:rsidRDefault="00D24D63">
      <w:pPr>
        <w:jc w:val="center"/>
      </w:pPr>
    </w:p>
    <w:p w14:paraId="00000011" w14:textId="77777777" w:rsidR="00D24D63" w:rsidRDefault="00D24D63">
      <w:pPr>
        <w:jc w:val="center"/>
      </w:pPr>
    </w:p>
    <w:p w14:paraId="00000012" w14:textId="77777777" w:rsidR="00D24D63" w:rsidRDefault="001A3940">
      <w:pPr>
        <w:spacing w:line="250" w:lineRule="auto"/>
        <w:jc w:val="center"/>
        <w:rPr>
          <w:b/>
          <w:bCs/>
          <w:sz w:val="30"/>
          <w:szCs w:val="30"/>
        </w:rPr>
      </w:pPr>
      <w:r>
        <w:rPr>
          <w:b/>
          <w:bCs/>
          <w:sz w:val="30"/>
          <w:szCs w:val="30"/>
        </w:rPr>
        <w:t>Global Plastics Policy Centre, University of Portsmouth</w:t>
      </w:r>
    </w:p>
    <w:p w14:paraId="00000013" w14:textId="77777777" w:rsidR="00D24D63" w:rsidRDefault="001A3940">
      <w:pPr>
        <w:jc w:val="center"/>
      </w:pPr>
      <w:r>
        <w:t>Antaya March, Georgios Georgiou, Liliana Teale, Keiron Roberts, Steve Fletcher</w:t>
      </w:r>
    </w:p>
    <w:p w14:paraId="00000014" w14:textId="77777777" w:rsidR="00D24D63" w:rsidRDefault="00D24D63"/>
    <w:p w14:paraId="00000015" w14:textId="3F0C7321" w:rsidR="00D24D63" w:rsidRDefault="003051D7">
      <w:pPr>
        <w:rPr>
          <w:b/>
          <w:bCs/>
          <w:color w:val="0B5394"/>
          <w:sz w:val="32"/>
          <w:szCs w:val="32"/>
        </w:rPr>
      </w:pPr>
      <w:r>
        <w:rPr>
          <w:noProof/>
        </w:rPr>
        <w:drawing>
          <wp:anchor distT="114300" distB="114300" distL="114300" distR="114300" simplePos="0" relativeHeight="251658240" behindDoc="0" locked="0" layoutInCell="1" hidden="0" allowOverlap="1" wp14:anchorId="1683B216" wp14:editId="57E53701">
            <wp:simplePos x="0" y="0"/>
            <wp:positionH relativeFrom="column">
              <wp:posOffset>1484671</wp:posOffset>
            </wp:positionH>
            <wp:positionV relativeFrom="paragraph">
              <wp:posOffset>231938</wp:posOffset>
            </wp:positionV>
            <wp:extent cx="3044190" cy="1235075"/>
            <wp:effectExtent l="0" t="0" r="0" b="0"/>
            <wp:wrapSquare wrapText="bothSides" distT="114300" distB="114300" distL="114300" distR="114300"/>
            <wp:docPr id="4" name="image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logo&#10;&#10;AI-generated content may be incorrect."/>
                    <pic:cNvPicPr preferRelativeResize="0"/>
                  </pic:nvPicPr>
                  <pic:blipFill>
                    <a:blip r:embed="rId12"/>
                    <a:srcRect/>
                    <a:stretch>
                      <a:fillRect/>
                    </a:stretch>
                  </pic:blipFill>
                  <pic:spPr>
                    <a:xfrm>
                      <a:off x="0" y="0"/>
                      <a:ext cx="3044190" cy="1235075"/>
                    </a:xfrm>
                    <a:prstGeom prst="rect">
                      <a:avLst/>
                    </a:prstGeom>
                    <a:ln/>
                  </pic:spPr>
                </pic:pic>
              </a:graphicData>
            </a:graphic>
          </wp:anchor>
        </w:drawing>
      </w:r>
    </w:p>
    <w:p w14:paraId="00000016" w14:textId="71FE2CE0" w:rsidR="00D24D63" w:rsidRDefault="001A3940">
      <w:pPr>
        <w:pStyle w:val="Heading1"/>
      </w:pPr>
      <w:bookmarkStart w:id="0" w:name="_heading=h.og9j8t7ibemj" w:colFirst="0" w:colLast="0"/>
      <w:bookmarkEnd w:id="0"/>
      <w:r>
        <w:br w:type="page"/>
      </w:r>
      <w:r>
        <w:lastRenderedPageBreak/>
        <w:t>Executive Summary</w:t>
      </w:r>
    </w:p>
    <w:p w14:paraId="00000017" w14:textId="6B4AD5A7" w:rsidR="00D24D63" w:rsidRPr="0033244E" w:rsidRDefault="001A3940">
      <w:r w:rsidRPr="0033244E">
        <w:t>This report maps current evidence on circular economy interventions beyond recycling across six priority sectors: agri-food, chemicals and plastics, electrical and electronic equipment (EEE), transport, textiles, and the built environment. It provides a structured overview of activity above recycling on the waste hierarchy (Refuse, Reduce, Reuse, Repair, Refurbish, Remanufacture, and Repurpose) and identifies where evidence and innovation remain limited.</w:t>
      </w:r>
    </w:p>
    <w:p w14:paraId="00000018" w14:textId="0F26F10F" w:rsidR="00D24D63" w:rsidRPr="0033244E" w:rsidRDefault="00D24D63"/>
    <w:p w14:paraId="00000019" w14:textId="7E353262" w:rsidR="00D24D63" w:rsidRPr="0033244E" w:rsidRDefault="001A3940">
      <w:r w:rsidRPr="0033244E">
        <w:t>A rapid evidence mapping approach was applied using academic and grey literature, industry and policy sources, and UKRI repositories, complemented by AI-assisted searches. In total, 102 interventions were identified and coded by sector, R-strategy, intervention type, maturity, scalability, and transferability. This approach provided an indicative picture of how circularity is being operationalised across the UK economy and where further work is needed to support progress toward a more resource-efficient and low-waste system.</w:t>
      </w:r>
    </w:p>
    <w:p w14:paraId="0000001A" w14:textId="5B14C99D" w:rsidR="00D24D63" w:rsidRPr="0033244E" w:rsidRDefault="00D24D63"/>
    <w:p w14:paraId="0000001B" w14:textId="4357CA1C" w:rsidR="00D24D63" w:rsidRPr="0033244E" w:rsidRDefault="001A3940">
      <w:pPr>
        <w:rPr>
          <w:b/>
          <w:bCs/>
        </w:rPr>
      </w:pPr>
      <w:r w:rsidRPr="0033244E">
        <w:rPr>
          <w:b/>
          <w:bCs/>
        </w:rPr>
        <w:t>Patterns of activity</w:t>
      </w:r>
    </w:p>
    <w:p w14:paraId="0000001C" w14:textId="2F3F9F9C" w:rsidR="00D24D63" w:rsidRPr="0033244E" w:rsidRDefault="001A3940">
      <w:r w:rsidRPr="0033244E">
        <w:t>Circular economy activity in the UK is active but largely fragmented. Most interventions occur at full-market or pilot scale, reflecting both commercial maturity in consumer-facing sectors and early experimentation in capital-intensive ones. Reuse, reduce, and repair dominate, while higher-order Rs such as refuse, refurbish, and remanufacture are less represented. The chemicals and plastics and textiles sectors show the highest overall activity, largely concentrated on packaging redesign, reuse, and resale. The built environment and transport sectors remain at earlier innovation stages, constrained by regulatory and infrastructural factors that limit experimentation.</w:t>
      </w:r>
    </w:p>
    <w:p w14:paraId="0000001D" w14:textId="1A84EA5B" w:rsidR="00D24D63" w:rsidRPr="0033244E" w:rsidRDefault="00D24D63"/>
    <w:p w14:paraId="0000001E" w14:textId="40CF5800" w:rsidR="00D24D63" w:rsidRPr="0033244E" w:rsidRDefault="001A3940">
      <w:r w:rsidRPr="0033244E">
        <w:t xml:space="preserve">Evidence of transferability between sectors is limited where over half the interventions identified are context-specific, designed for a single material system or regulatory environment. However, approaches built around shared principles show potential for replication across sectors, including repair skills, leasing and subscription models, and digital tracking of materials, </w:t>
      </w:r>
    </w:p>
    <w:p w14:paraId="0000001F" w14:textId="2C50C001" w:rsidR="00D24D63" w:rsidRPr="0033244E" w:rsidRDefault="00D24D63"/>
    <w:p w14:paraId="00000020" w14:textId="19FE3599" w:rsidR="00D24D63" w:rsidRPr="0033244E" w:rsidRDefault="001A3940">
      <w:pPr>
        <w:rPr>
          <w:b/>
          <w:bCs/>
        </w:rPr>
      </w:pPr>
      <w:r w:rsidRPr="0033244E">
        <w:rPr>
          <w:b/>
          <w:bCs/>
        </w:rPr>
        <w:t>Cross-cutting findings</w:t>
      </w:r>
    </w:p>
    <w:p w14:paraId="00000021" w14:textId="0913EA4A" w:rsidR="00D24D63" w:rsidRPr="0033244E" w:rsidRDefault="001A3940">
      <w:r w:rsidRPr="0033244E">
        <w:t>The mapping highlights three structural characteristics of the UK circular economy landscape:</w:t>
      </w:r>
    </w:p>
    <w:p w14:paraId="00000022" w14:textId="57AE7384" w:rsidR="00D24D63" w:rsidRDefault="001A3940">
      <w:pPr>
        <w:numPr>
          <w:ilvl w:val="0"/>
          <w:numId w:val="25"/>
        </w:numPr>
      </w:pPr>
      <w:r w:rsidRPr="0033244E">
        <w:t>A dominance of downstream activity. The majority of interventions occur late in the product lifecycle, focusing on reuse, recycling optimisation, and consumer behaviour rather than upstream design, material substitution, or production efficiency.</w:t>
      </w:r>
    </w:p>
    <w:p w14:paraId="00000023" w14:textId="7E3CEE6F" w:rsidR="00D24D63" w:rsidRDefault="001A3940">
      <w:pPr>
        <w:numPr>
          <w:ilvl w:val="0"/>
          <w:numId w:val="25"/>
        </w:numPr>
      </w:pPr>
      <w:r w:rsidRPr="0033244E">
        <w:t>Weak integration between research and market deployment. Few mid-stage or pre-commercial interventions were identified, suggesting limited translation from pilot projects to market-ready solutions.</w:t>
      </w:r>
    </w:p>
    <w:p w14:paraId="00000024" w14:textId="540444AB" w:rsidR="00D24D63" w:rsidRDefault="001A3940">
      <w:pPr>
        <w:numPr>
          <w:ilvl w:val="0"/>
          <w:numId w:val="25"/>
        </w:numPr>
      </w:pPr>
      <w:r w:rsidRPr="0033244E">
        <w:t>Limited evidence on outcomes and impact. Many initiatives report activity rather than measurable impact. Evaluations of material savings, emissions reductions, or economic performance are rarely available or consistently applied.</w:t>
      </w:r>
    </w:p>
    <w:p w14:paraId="00000025" w14:textId="133FB2E0" w:rsidR="00D24D63" w:rsidRPr="0033244E" w:rsidRDefault="00D24D63"/>
    <w:p w14:paraId="00000026" w14:textId="3B9D0774" w:rsidR="00D24D63" w:rsidRPr="0033244E" w:rsidRDefault="001A3940">
      <w:pPr>
        <w:rPr>
          <w:b/>
          <w:bCs/>
        </w:rPr>
      </w:pPr>
      <w:r w:rsidRPr="0033244E">
        <w:rPr>
          <w:b/>
          <w:bCs/>
        </w:rPr>
        <w:t>Evidence gaps</w:t>
      </w:r>
    </w:p>
    <w:p w14:paraId="00000027" w14:textId="7FD1B47E" w:rsidR="00D24D63" w:rsidRPr="0033244E" w:rsidRDefault="001A3940">
      <w:r w:rsidRPr="0033244E">
        <w:t xml:space="preserve">Gaps cluster around higher-order Rs and sectors where circularity depends on system-level coordination. Refuse, repair, refurbish, and remanufacture are least evidenced, particularly in </w:t>
      </w:r>
      <w:r w:rsidRPr="0033244E">
        <w:lastRenderedPageBreak/>
        <w:t>heavy industry and infrastructure. Gaps also reflect economic disincentives, technical barriers, and behavioural aspects that are less visible in formal evidence sources. These absences point not only to where activity is limited but also to where innovation potential remains underdeveloped.</w:t>
      </w:r>
    </w:p>
    <w:p w14:paraId="00000028" w14:textId="5FBF51EF" w:rsidR="00D24D63" w:rsidRPr="0033244E" w:rsidRDefault="00D24D63"/>
    <w:p w14:paraId="00000029" w14:textId="20CD6765" w:rsidR="00D24D63" w:rsidRPr="0033244E" w:rsidRDefault="001A3940">
      <w:pPr>
        <w:rPr>
          <w:b/>
          <w:bCs/>
        </w:rPr>
      </w:pPr>
      <w:r w:rsidRPr="0033244E">
        <w:rPr>
          <w:b/>
          <w:bCs/>
        </w:rPr>
        <w:t>Opportunities and recommendations</w:t>
      </w:r>
    </w:p>
    <w:p w14:paraId="0000002A" w14:textId="0400A924" w:rsidR="00D24D63" w:rsidRPr="0033244E" w:rsidRDefault="001A3940">
      <w:r w:rsidRPr="0033244E">
        <w:t>To progress beyond recycling, contribute to growth, and strengthen circularity across the UK economy, nine strategic opportunities have been identified:</w:t>
      </w:r>
    </w:p>
    <w:p w14:paraId="0950E52E" w14:textId="77777777" w:rsidR="00704BB0" w:rsidRDefault="001A3940" w:rsidP="00704BB0">
      <w:pPr>
        <w:numPr>
          <w:ilvl w:val="0"/>
          <w:numId w:val="1"/>
        </w:numPr>
      </w:pPr>
      <w:r w:rsidRPr="0033244E">
        <w:rPr>
          <w:b/>
          <w:bCs/>
        </w:rPr>
        <w:t xml:space="preserve">Strengthen upstream drivers of circularity. </w:t>
      </w:r>
      <w:r w:rsidRPr="0033244E">
        <w:t>Activity remains concentrated downstream thus greater focus on material innovation and design-stage interventions could prevent waste before it arises.</w:t>
      </w:r>
      <w:r w:rsidR="00704BB0" w:rsidRPr="00704BB0">
        <w:t xml:space="preserve"> </w:t>
      </w:r>
    </w:p>
    <w:p w14:paraId="0000002B" w14:textId="5010D72D" w:rsidR="00D24D63" w:rsidRDefault="00704BB0" w:rsidP="00704BB0">
      <w:pPr>
        <w:numPr>
          <w:ilvl w:val="0"/>
          <w:numId w:val="1"/>
        </w:numPr>
      </w:pPr>
      <w:r w:rsidRPr="009F047F">
        <w:rPr>
          <w:b/>
          <w:bCs/>
        </w:rPr>
        <w:t xml:space="preserve">Strengthen resource efficiency and material productivity. </w:t>
      </w:r>
      <w:r>
        <w:t>Circular strategies often focus on extending product life, usually through recycling, rather than reducing reliance on virgin materials. Refocusing on resource efficiency and secondary product and material use would improve productivity and resilience, while supporting industries around repair, refurbishment, and remanufacture within domestic supply chains.</w:t>
      </w:r>
    </w:p>
    <w:p w14:paraId="0000002D" w14:textId="14FECF25" w:rsidR="00D24D63" w:rsidRDefault="001A3940">
      <w:pPr>
        <w:numPr>
          <w:ilvl w:val="0"/>
          <w:numId w:val="1"/>
        </w:numPr>
      </w:pPr>
      <w:r w:rsidRPr="0033244E">
        <w:rPr>
          <w:b/>
          <w:bCs/>
        </w:rPr>
        <w:t>Bridge the gap between pilot and deployment.</w:t>
      </w:r>
      <w:r w:rsidRPr="0033244E">
        <w:t xml:space="preserve"> Few innovations progress beyond trials thus clearer pathways from research to market would improve uptake.</w:t>
      </w:r>
    </w:p>
    <w:p w14:paraId="0000002E" w14:textId="45C45898" w:rsidR="00D24D63" w:rsidRDefault="001A3940">
      <w:pPr>
        <w:numPr>
          <w:ilvl w:val="0"/>
          <w:numId w:val="1"/>
        </w:numPr>
      </w:pPr>
      <w:r w:rsidRPr="0033244E">
        <w:rPr>
          <w:b/>
          <w:bCs/>
        </w:rPr>
        <w:t>Scale up reuse systems.</w:t>
      </w:r>
      <w:r w:rsidRPr="0033244E">
        <w:t xml:space="preserve"> Reuse offers proven benefits but remains uneven, and stronger infrastructure and common standards could support wider adoption. Progress appears to be constrained by gaps in logistics, regulation, and financial incentives.</w:t>
      </w:r>
    </w:p>
    <w:p w14:paraId="0000002F" w14:textId="1B999AC9" w:rsidR="00D24D63" w:rsidRDefault="001A3940">
      <w:pPr>
        <w:numPr>
          <w:ilvl w:val="0"/>
          <w:numId w:val="1"/>
        </w:numPr>
      </w:pPr>
      <w:r w:rsidRPr="0033244E">
        <w:rPr>
          <w:b/>
          <w:bCs/>
        </w:rPr>
        <w:t>Improve transferability across sectors</w:t>
      </w:r>
      <w:r w:rsidRPr="0033244E">
        <w:t>. Circular practices are often siloed, thus identifying adaptable models could increase coherence and efficiency.</w:t>
      </w:r>
    </w:p>
    <w:p w14:paraId="00000030" w14:textId="42A8FA0C" w:rsidR="00D24D63" w:rsidRDefault="001A3940">
      <w:pPr>
        <w:numPr>
          <w:ilvl w:val="0"/>
          <w:numId w:val="1"/>
        </w:numPr>
      </w:pPr>
      <w:r w:rsidRPr="0033244E">
        <w:rPr>
          <w:b/>
          <w:bCs/>
        </w:rPr>
        <w:t>Strengthen evidence on outcomes.</w:t>
      </w:r>
      <w:r w:rsidRPr="0033244E">
        <w:t xml:space="preserve"> Many initiatives lack data on impact and consistent metrics would enable better assessment of results.</w:t>
      </w:r>
    </w:p>
    <w:p w14:paraId="00000031" w14:textId="113B9500" w:rsidR="00D24D63" w:rsidRDefault="001A3940">
      <w:pPr>
        <w:numPr>
          <w:ilvl w:val="0"/>
          <w:numId w:val="1"/>
        </w:numPr>
      </w:pPr>
      <w:r w:rsidRPr="0033244E">
        <w:rPr>
          <w:b/>
          <w:bCs/>
        </w:rPr>
        <w:t xml:space="preserve">Align incentives with circular value retention. </w:t>
      </w:r>
      <w:r w:rsidRPr="0033244E">
        <w:t>Recycling remains favoured within existing regulations, shifting incentives toward reuse and repair would help retain material value.</w:t>
      </w:r>
    </w:p>
    <w:p w14:paraId="00000032" w14:textId="465D24B1" w:rsidR="00D24D63" w:rsidRDefault="001A3940">
      <w:pPr>
        <w:numPr>
          <w:ilvl w:val="0"/>
          <w:numId w:val="1"/>
        </w:numPr>
      </w:pPr>
      <w:r w:rsidRPr="0033244E">
        <w:rPr>
          <w:b/>
          <w:bCs/>
        </w:rPr>
        <w:t xml:space="preserve">Support SME and community participation. </w:t>
      </w:r>
      <w:r w:rsidRPr="0033244E">
        <w:t>Smaller actors drive much innovation but lack support, thus targeted resources could extend their reach and impact.</w:t>
      </w:r>
    </w:p>
    <w:p w14:paraId="00000033" w14:textId="1F2BA10B" w:rsidR="00D24D63" w:rsidRDefault="001A3940">
      <w:pPr>
        <w:numPr>
          <w:ilvl w:val="0"/>
          <w:numId w:val="1"/>
        </w:numPr>
      </w:pPr>
      <w:r w:rsidRPr="0033244E">
        <w:rPr>
          <w:b/>
          <w:bCs/>
        </w:rPr>
        <w:t xml:space="preserve">Prioritise gaps by potential impact. </w:t>
      </w:r>
      <w:r w:rsidRPr="0033244E">
        <w:t>Evidence gaps differ in significance, therefore assessing which areas hold the greatest potential for material or emissions reduction would help direct future effort, specially distinguishing between low-consequence absences and those representing missed opportunities for systemic change.</w:t>
      </w:r>
    </w:p>
    <w:p w14:paraId="00000034" w14:textId="12D04249" w:rsidR="00D24D63" w:rsidRPr="0033244E" w:rsidRDefault="00D24D63"/>
    <w:p w14:paraId="00000035" w14:textId="7B016CC1" w:rsidR="00D24D63" w:rsidRDefault="001A3940">
      <w:r w:rsidRPr="0033244E">
        <w:t>This study demonstrates that while the UK’s circular economy activity is growing, it remains concentrated within specific sectors and dominated by incremental, downstream measures. Moving beyond recycling will require a coordinated effort to address upstream design, cross-sector transferability, and the structural incentives that determine how materials are valued and used.</w:t>
      </w:r>
      <w:r>
        <w:br w:type="page"/>
      </w:r>
    </w:p>
    <w:p w14:paraId="00000036" w14:textId="77777777" w:rsidR="00D24D63" w:rsidRDefault="001A3940">
      <w:pPr>
        <w:rPr>
          <w:b/>
          <w:bCs/>
          <w:color w:val="0B5394"/>
          <w:sz w:val="32"/>
          <w:szCs w:val="32"/>
        </w:rPr>
      </w:pPr>
      <w:r>
        <w:rPr>
          <w:b/>
          <w:bCs/>
          <w:color w:val="0B5394"/>
          <w:sz w:val="32"/>
          <w:szCs w:val="32"/>
        </w:rPr>
        <w:lastRenderedPageBreak/>
        <w:t>Contents</w:t>
      </w:r>
    </w:p>
    <w:sdt>
      <w:sdtPr>
        <w:id w:val="-1533469655"/>
        <w:docPartObj>
          <w:docPartGallery w:val="Table of Contents"/>
          <w:docPartUnique/>
        </w:docPartObj>
      </w:sdtPr>
      <w:sdtEndPr/>
      <w:sdtContent>
        <w:p w14:paraId="00000037" w14:textId="77777777" w:rsidR="00D24D63" w:rsidRDefault="001A3940">
          <w:pPr>
            <w:widowControl w:val="0"/>
            <w:tabs>
              <w:tab w:val="right" w:pos="9025"/>
            </w:tabs>
            <w:spacing w:before="60" w:line="240" w:lineRule="auto"/>
            <w:jc w:val="left"/>
            <w:rPr>
              <w:b/>
              <w:bCs/>
              <w:color w:val="000000"/>
            </w:rPr>
          </w:pPr>
          <w:r>
            <w:fldChar w:fldCharType="begin"/>
          </w:r>
          <w:r>
            <w:instrText xml:space="preserve"> TOC \h \u \z \t "Heading 1,1,Heading 2,2,Heading 3,3,Heading 4,4,Heading 5,5,Heading 6,6,"</w:instrText>
          </w:r>
          <w:r>
            <w:fldChar w:fldCharType="separate"/>
          </w:r>
          <w:hyperlink w:anchor="_heading=h.og9j8t7ibemj">
            <w:r w:rsidR="00D24D63">
              <w:rPr>
                <w:b/>
                <w:bCs/>
                <w:color w:val="000000"/>
              </w:rPr>
              <w:t>Executive Summary</w:t>
            </w:r>
            <w:r w:rsidR="00D24D63">
              <w:rPr>
                <w:b/>
                <w:bCs/>
                <w:color w:val="000000"/>
              </w:rPr>
              <w:tab/>
            </w:r>
          </w:hyperlink>
          <w:r>
            <w:fldChar w:fldCharType="begin"/>
          </w:r>
          <w:r>
            <w:instrText xml:space="preserve"> PAGEREF _heading=h.og9j8t7ibemj \h </w:instrText>
          </w:r>
          <w:r>
            <w:fldChar w:fldCharType="separate"/>
          </w:r>
          <w:r>
            <w:rPr>
              <w:b/>
              <w:bCs/>
            </w:rPr>
            <w:t>0</w:t>
          </w:r>
          <w:r>
            <w:fldChar w:fldCharType="end"/>
          </w:r>
        </w:p>
        <w:p w14:paraId="00000038" w14:textId="77777777" w:rsidR="00D24D63" w:rsidRDefault="00D24D63">
          <w:pPr>
            <w:widowControl w:val="0"/>
            <w:tabs>
              <w:tab w:val="right" w:pos="9025"/>
            </w:tabs>
            <w:spacing w:before="60" w:line="240" w:lineRule="auto"/>
            <w:jc w:val="left"/>
            <w:rPr>
              <w:b/>
              <w:bCs/>
              <w:color w:val="000000"/>
            </w:rPr>
          </w:pPr>
          <w:hyperlink w:anchor="_heading=h.gdypkiylqj3q">
            <w:r>
              <w:rPr>
                <w:b/>
                <w:bCs/>
                <w:color w:val="000000"/>
              </w:rPr>
              <w:t>Acronyms</w:t>
            </w:r>
            <w:r>
              <w:rPr>
                <w:b/>
                <w:bCs/>
                <w:color w:val="000000"/>
              </w:rPr>
              <w:tab/>
            </w:r>
          </w:hyperlink>
          <w:r w:rsidR="001A3940">
            <w:fldChar w:fldCharType="begin"/>
          </w:r>
          <w:r w:rsidR="001A3940">
            <w:instrText xml:space="preserve"> PAGEREF _heading=h.gdypkiylqj3q \h </w:instrText>
          </w:r>
          <w:r w:rsidR="001A3940">
            <w:fldChar w:fldCharType="separate"/>
          </w:r>
          <w:r w:rsidR="001A3940">
            <w:rPr>
              <w:b/>
              <w:bCs/>
            </w:rPr>
            <w:t>4</w:t>
          </w:r>
          <w:r w:rsidR="001A3940">
            <w:fldChar w:fldCharType="end"/>
          </w:r>
        </w:p>
        <w:p w14:paraId="00000039" w14:textId="77777777" w:rsidR="00D24D63" w:rsidRDefault="00D24D63">
          <w:pPr>
            <w:widowControl w:val="0"/>
            <w:tabs>
              <w:tab w:val="right" w:pos="9025"/>
            </w:tabs>
            <w:spacing w:before="60" w:line="240" w:lineRule="auto"/>
            <w:jc w:val="left"/>
            <w:rPr>
              <w:b/>
              <w:bCs/>
              <w:color w:val="000000"/>
            </w:rPr>
          </w:pPr>
          <w:hyperlink w:anchor="_heading=h.s14xfc29j9dp">
            <w:r>
              <w:rPr>
                <w:b/>
                <w:bCs/>
                <w:color w:val="000000"/>
              </w:rPr>
              <w:t>1. Introduction</w:t>
            </w:r>
            <w:r>
              <w:rPr>
                <w:b/>
                <w:bCs/>
                <w:color w:val="000000"/>
              </w:rPr>
              <w:tab/>
            </w:r>
          </w:hyperlink>
          <w:r w:rsidR="001A3940">
            <w:fldChar w:fldCharType="begin"/>
          </w:r>
          <w:r w:rsidR="001A3940">
            <w:instrText xml:space="preserve"> PAGEREF _heading=h.s14xfc29j9dp \h </w:instrText>
          </w:r>
          <w:r w:rsidR="001A3940">
            <w:fldChar w:fldCharType="separate"/>
          </w:r>
          <w:r w:rsidR="001A3940">
            <w:rPr>
              <w:b/>
              <w:bCs/>
            </w:rPr>
            <w:t>5</w:t>
          </w:r>
          <w:r w:rsidR="001A3940">
            <w:fldChar w:fldCharType="end"/>
          </w:r>
        </w:p>
        <w:p w14:paraId="0000003A" w14:textId="77777777" w:rsidR="00D24D63" w:rsidRDefault="00D24D63">
          <w:pPr>
            <w:widowControl w:val="0"/>
            <w:tabs>
              <w:tab w:val="right" w:pos="9025"/>
            </w:tabs>
            <w:spacing w:before="60" w:line="240" w:lineRule="auto"/>
            <w:jc w:val="left"/>
            <w:rPr>
              <w:b/>
              <w:bCs/>
              <w:color w:val="000000"/>
            </w:rPr>
          </w:pPr>
          <w:hyperlink w:anchor="_heading=h.4ydpmj6v5yyf">
            <w:r>
              <w:rPr>
                <w:b/>
                <w:bCs/>
                <w:color w:val="000000"/>
              </w:rPr>
              <w:t>2. Methods</w:t>
            </w:r>
            <w:r>
              <w:rPr>
                <w:b/>
                <w:bCs/>
                <w:color w:val="000000"/>
              </w:rPr>
              <w:tab/>
            </w:r>
          </w:hyperlink>
          <w:r w:rsidR="001A3940">
            <w:fldChar w:fldCharType="begin"/>
          </w:r>
          <w:r w:rsidR="001A3940">
            <w:instrText xml:space="preserve"> PAGEREF _heading=h.4ydpmj6v5yyf \h </w:instrText>
          </w:r>
          <w:r w:rsidR="001A3940">
            <w:fldChar w:fldCharType="separate"/>
          </w:r>
          <w:r w:rsidR="001A3940">
            <w:rPr>
              <w:b/>
              <w:bCs/>
            </w:rPr>
            <w:t>6</w:t>
          </w:r>
          <w:r w:rsidR="001A3940">
            <w:fldChar w:fldCharType="end"/>
          </w:r>
        </w:p>
        <w:p w14:paraId="0000003B" w14:textId="77777777" w:rsidR="00D24D63" w:rsidRDefault="00D24D63">
          <w:pPr>
            <w:widowControl w:val="0"/>
            <w:tabs>
              <w:tab w:val="right" w:pos="9025"/>
            </w:tabs>
            <w:spacing w:before="60" w:line="240" w:lineRule="auto"/>
            <w:jc w:val="left"/>
            <w:rPr>
              <w:b/>
              <w:bCs/>
              <w:color w:val="000000"/>
            </w:rPr>
          </w:pPr>
          <w:hyperlink w:anchor="_heading=h.xm42nevbx1yc">
            <w:r>
              <w:rPr>
                <w:b/>
                <w:bCs/>
                <w:color w:val="000000"/>
              </w:rPr>
              <w:t>3. Findings</w:t>
            </w:r>
            <w:r>
              <w:rPr>
                <w:b/>
                <w:bCs/>
                <w:color w:val="000000"/>
              </w:rPr>
              <w:tab/>
            </w:r>
          </w:hyperlink>
          <w:r w:rsidR="001A3940">
            <w:fldChar w:fldCharType="begin"/>
          </w:r>
          <w:r w:rsidR="001A3940">
            <w:instrText xml:space="preserve"> PAGEREF _heading=h.xm42nevbx1yc \h </w:instrText>
          </w:r>
          <w:r w:rsidR="001A3940">
            <w:fldChar w:fldCharType="separate"/>
          </w:r>
          <w:r w:rsidR="001A3940">
            <w:rPr>
              <w:b/>
              <w:bCs/>
            </w:rPr>
            <w:t>10</w:t>
          </w:r>
          <w:r w:rsidR="001A3940">
            <w:fldChar w:fldCharType="end"/>
          </w:r>
        </w:p>
        <w:p w14:paraId="0000003C" w14:textId="77777777" w:rsidR="00D24D63" w:rsidRDefault="00D24D63">
          <w:pPr>
            <w:widowControl w:val="0"/>
            <w:tabs>
              <w:tab w:val="right" w:pos="9025"/>
            </w:tabs>
            <w:spacing w:before="60" w:line="240" w:lineRule="auto"/>
            <w:ind w:left="360"/>
            <w:jc w:val="left"/>
            <w:rPr>
              <w:color w:val="000000"/>
            </w:rPr>
          </w:pPr>
          <w:hyperlink w:anchor="_heading=h.20whykslzsoy">
            <w:r>
              <w:rPr>
                <w:color w:val="000000"/>
              </w:rPr>
              <w:t>3.1 Sector findings</w:t>
            </w:r>
            <w:r>
              <w:rPr>
                <w:color w:val="000000"/>
              </w:rPr>
              <w:tab/>
            </w:r>
          </w:hyperlink>
          <w:r w:rsidR="001A3940">
            <w:fldChar w:fldCharType="begin"/>
          </w:r>
          <w:r w:rsidR="001A3940">
            <w:instrText xml:space="preserve"> PAGEREF _heading=h.20whykslzsoy \h </w:instrText>
          </w:r>
          <w:r w:rsidR="001A3940">
            <w:fldChar w:fldCharType="separate"/>
          </w:r>
          <w:r w:rsidR="001A3940">
            <w:t>10</w:t>
          </w:r>
          <w:r w:rsidR="001A3940">
            <w:fldChar w:fldCharType="end"/>
          </w:r>
        </w:p>
        <w:p w14:paraId="0000003D" w14:textId="77777777" w:rsidR="00D24D63" w:rsidRDefault="00D24D63">
          <w:pPr>
            <w:widowControl w:val="0"/>
            <w:tabs>
              <w:tab w:val="right" w:pos="9025"/>
            </w:tabs>
            <w:spacing w:before="60" w:line="240" w:lineRule="auto"/>
            <w:ind w:left="720"/>
            <w:jc w:val="left"/>
            <w:rPr>
              <w:color w:val="000000"/>
            </w:rPr>
          </w:pPr>
          <w:hyperlink w:anchor="_heading=h.17tk9lt9g8jt">
            <w:r>
              <w:rPr>
                <w:color w:val="000000"/>
              </w:rPr>
              <w:t>3.1.1 Agri-Food</w:t>
            </w:r>
            <w:r>
              <w:rPr>
                <w:color w:val="000000"/>
              </w:rPr>
              <w:tab/>
            </w:r>
          </w:hyperlink>
          <w:r w:rsidR="001A3940">
            <w:fldChar w:fldCharType="begin"/>
          </w:r>
          <w:r w:rsidR="001A3940">
            <w:instrText xml:space="preserve"> PAGEREF _heading=h.17tk9lt9g8jt \h </w:instrText>
          </w:r>
          <w:r w:rsidR="001A3940">
            <w:fldChar w:fldCharType="separate"/>
          </w:r>
          <w:r w:rsidR="001A3940">
            <w:t>11</w:t>
          </w:r>
          <w:r w:rsidR="001A3940">
            <w:fldChar w:fldCharType="end"/>
          </w:r>
        </w:p>
        <w:p w14:paraId="0000003E" w14:textId="77777777" w:rsidR="00D24D63" w:rsidRDefault="00D24D63">
          <w:pPr>
            <w:widowControl w:val="0"/>
            <w:tabs>
              <w:tab w:val="right" w:pos="9025"/>
            </w:tabs>
            <w:spacing w:before="60" w:line="240" w:lineRule="auto"/>
            <w:ind w:left="720"/>
            <w:jc w:val="left"/>
            <w:rPr>
              <w:color w:val="000000"/>
            </w:rPr>
          </w:pPr>
          <w:hyperlink w:anchor="_heading=h.olq99d4w6vbm">
            <w:r>
              <w:rPr>
                <w:color w:val="000000"/>
              </w:rPr>
              <w:t>3.1.2 Built Environment</w:t>
            </w:r>
            <w:r>
              <w:rPr>
                <w:color w:val="000000"/>
              </w:rPr>
              <w:tab/>
            </w:r>
          </w:hyperlink>
          <w:r w:rsidR="001A3940">
            <w:fldChar w:fldCharType="begin"/>
          </w:r>
          <w:r w:rsidR="001A3940">
            <w:instrText xml:space="preserve"> PAGEREF _heading=h.olq99d4w6vbm \h </w:instrText>
          </w:r>
          <w:r w:rsidR="001A3940">
            <w:fldChar w:fldCharType="separate"/>
          </w:r>
          <w:r w:rsidR="001A3940">
            <w:t>12</w:t>
          </w:r>
          <w:r w:rsidR="001A3940">
            <w:fldChar w:fldCharType="end"/>
          </w:r>
        </w:p>
        <w:p w14:paraId="0000003F" w14:textId="77777777" w:rsidR="00D24D63" w:rsidRDefault="00D24D63">
          <w:pPr>
            <w:widowControl w:val="0"/>
            <w:tabs>
              <w:tab w:val="right" w:pos="9025"/>
            </w:tabs>
            <w:spacing w:before="60" w:line="240" w:lineRule="auto"/>
            <w:ind w:left="720"/>
            <w:jc w:val="left"/>
            <w:rPr>
              <w:color w:val="000000"/>
            </w:rPr>
          </w:pPr>
          <w:hyperlink w:anchor="_heading=h.b14d1q1tb3bi">
            <w:r>
              <w:rPr>
                <w:color w:val="000000"/>
              </w:rPr>
              <w:t>3.1.3 Chemicals &amp; Plastics</w:t>
            </w:r>
            <w:r>
              <w:rPr>
                <w:color w:val="000000"/>
              </w:rPr>
              <w:tab/>
            </w:r>
          </w:hyperlink>
          <w:r w:rsidR="001A3940">
            <w:fldChar w:fldCharType="begin"/>
          </w:r>
          <w:r w:rsidR="001A3940">
            <w:instrText xml:space="preserve"> PAGEREF _heading=h.b14d1q1tb3bi \h </w:instrText>
          </w:r>
          <w:r w:rsidR="001A3940">
            <w:fldChar w:fldCharType="separate"/>
          </w:r>
          <w:r w:rsidR="001A3940">
            <w:t>13</w:t>
          </w:r>
          <w:r w:rsidR="001A3940">
            <w:fldChar w:fldCharType="end"/>
          </w:r>
        </w:p>
        <w:p w14:paraId="00000040" w14:textId="77777777" w:rsidR="00D24D63" w:rsidRDefault="00D24D63">
          <w:pPr>
            <w:widowControl w:val="0"/>
            <w:tabs>
              <w:tab w:val="right" w:pos="9025"/>
            </w:tabs>
            <w:spacing w:before="60" w:line="240" w:lineRule="auto"/>
            <w:ind w:left="720"/>
            <w:jc w:val="left"/>
            <w:rPr>
              <w:color w:val="000000"/>
            </w:rPr>
          </w:pPr>
          <w:hyperlink w:anchor="_heading=h.gg9w02vm8875">
            <w:r>
              <w:rPr>
                <w:color w:val="000000"/>
              </w:rPr>
              <w:t>3.1.4 EEE</w:t>
            </w:r>
            <w:r>
              <w:rPr>
                <w:color w:val="000000"/>
              </w:rPr>
              <w:tab/>
            </w:r>
          </w:hyperlink>
          <w:r w:rsidR="001A3940">
            <w:fldChar w:fldCharType="begin"/>
          </w:r>
          <w:r w:rsidR="001A3940">
            <w:instrText xml:space="preserve"> PAGEREF _heading=h.gg9w02vm8875 \h </w:instrText>
          </w:r>
          <w:r w:rsidR="001A3940">
            <w:fldChar w:fldCharType="separate"/>
          </w:r>
          <w:r w:rsidR="001A3940">
            <w:t>14</w:t>
          </w:r>
          <w:r w:rsidR="001A3940">
            <w:fldChar w:fldCharType="end"/>
          </w:r>
        </w:p>
        <w:p w14:paraId="00000041" w14:textId="77777777" w:rsidR="00D24D63" w:rsidRDefault="00D24D63">
          <w:pPr>
            <w:widowControl w:val="0"/>
            <w:tabs>
              <w:tab w:val="right" w:pos="9025"/>
            </w:tabs>
            <w:spacing w:before="60" w:line="240" w:lineRule="auto"/>
            <w:ind w:left="720"/>
            <w:jc w:val="left"/>
            <w:rPr>
              <w:color w:val="000000"/>
            </w:rPr>
          </w:pPr>
          <w:hyperlink w:anchor="_heading=h.2dpzibxpyulm">
            <w:r>
              <w:rPr>
                <w:color w:val="000000"/>
              </w:rPr>
              <w:t>3.1.5 Transport</w:t>
            </w:r>
            <w:r>
              <w:rPr>
                <w:color w:val="000000"/>
              </w:rPr>
              <w:tab/>
            </w:r>
          </w:hyperlink>
          <w:r w:rsidR="001A3940">
            <w:fldChar w:fldCharType="begin"/>
          </w:r>
          <w:r w:rsidR="001A3940">
            <w:instrText xml:space="preserve"> PAGEREF _heading=h.2dpzibxpyulm \h </w:instrText>
          </w:r>
          <w:r w:rsidR="001A3940">
            <w:fldChar w:fldCharType="separate"/>
          </w:r>
          <w:r w:rsidR="001A3940">
            <w:t>15</w:t>
          </w:r>
          <w:r w:rsidR="001A3940">
            <w:fldChar w:fldCharType="end"/>
          </w:r>
        </w:p>
        <w:p w14:paraId="00000042" w14:textId="77777777" w:rsidR="00D24D63" w:rsidRDefault="00D24D63">
          <w:pPr>
            <w:widowControl w:val="0"/>
            <w:tabs>
              <w:tab w:val="right" w:pos="9025"/>
            </w:tabs>
            <w:spacing w:before="60" w:line="240" w:lineRule="auto"/>
            <w:ind w:left="720"/>
            <w:jc w:val="left"/>
            <w:rPr>
              <w:color w:val="000000"/>
            </w:rPr>
          </w:pPr>
          <w:hyperlink w:anchor="_heading=h.lbwcx33ech9n">
            <w:r>
              <w:rPr>
                <w:color w:val="000000"/>
              </w:rPr>
              <w:t>3.1.6 Textiles</w:t>
            </w:r>
            <w:r>
              <w:rPr>
                <w:color w:val="000000"/>
              </w:rPr>
              <w:tab/>
            </w:r>
          </w:hyperlink>
          <w:r w:rsidR="001A3940">
            <w:fldChar w:fldCharType="begin"/>
          </w:r>
          <w:r w:rsidR="001A3940">
            <w:instrText xml:space="preserve"> PAGEREF _heading=h.lbwcx33ech9n \h </w:instrText>
          </w:r>
          <w:r w:rsidR="001A3940">
            <w:fldChar w:fldCharType="separate"/>
          </w:r>
          <w:r w:rsidR="001A3940">
            <w:t>17</w:t>
          </w:r>
          <w:r w:rsidR="001A3940">
            <w:fldChar w:fldCharType="end"/>
          </w:r>
        </w:p>
        <w:p w14:paraId="00000043" w14:textId="77777777" w:rsidR="00D24D63" w:rsidRDefault="00D24D63">
          <w:pPr>
            <w:widowControl w:val="0"/>
            <w:tabs>
              <w:tab w:val="right" w:pos="9025"/>
            </w:tabs>
            <w:spacing w:before="60" w:line="240" w:lineRule="auto"/>
            <w:ind w:left="360"/>
            <w:jc w:val="left"/>
            <w:rPr>
              <w:color w:val="000000"/>
            </w:rPr>
          </w:pPr>
          <w:hyperlink w:anchor="_heading=h.qflcoh7qx8k3">
            <w:r>
              <w:rPr>
                <w:color w:val="000000"/>
              </w:rPr>
              <w:t>3.2 Cross-cutting findings</w:t>
            </w:r>
            <w:r>
              <w:rPr>
                <w:color w:val="000000"/>
              </w:rPr>
              <w:tab/>
            </w:r>
          </w:hyperlink>
          <w:r w:rsidR="001A3940">
            <w:fldChar w:fldCharType="begin"/>
          </w:r>
          <w:r w:rsidR="001A3940">
            <w:instrText xml:space="preserve"> PAGEREF _heading=h.qflcoh7qx8k3 \h </w:instrText>
          </w:r>
          <w:r w:rsidR="001A3940">
            <w:fldChar w:fldCharType="separate"/>
          </w:r>
          <w:r w:rsidR="001A3940">
            <w:t>18</w:t>
          </w:r>
          <w:r w:rsidR="001A3940">
            <w:fldChar w:fldCharType="end"/>
          </w:r>
        </w:p>
        <w:p w14:paraId="00000044" w14:textId="77777777" w:rsidR="00D24D63" w:rsidRDefault="00D24D63">
          <w:pPr>
            <w:widowControl w:val="0"/>
            <w:tabs>
              <w:tab w:val="right" w:pos="9025"/>
            </w:tabs>
            <w:spacing w:before="60" w:line="240" w:lineRule="auto"/>
            <w:ind w:left="720"/>
            <w:jc w:val="left"/>
            <w:rPr>
              <w:color w:val="000000"/>
            </w:rPr>
          </w:pPr>
          <w:hyperlink w:anchor="_heading=h.ghp1u8la29ny">
            <w:r>
              <w:rPr>
                <w:color w:val="000000"/>
              </w:rPr>
              <w:t>3.2.1 General findings</w:t>
            </w:r>
            <w:r>
              <w:rPr>
                <w:color w:val="000000"/>
              </w:rPr>
              <w:tab/>
            </w:r>
          </w:hyperlink>
          <w:r w:rsidR="001A3940">
            <w:fldChar w:fldCharType="begin"/>
          </w:r>
          <w:r w:rsidR="001A3940">
            <w:instrText xml:space="preserve"> PAGEREF _heading=h.ghp1u8la29ny \h </w:instrText>
          </w:r>
          <w:r w:rsidR="001A3940">
            <w:fldChar w:fldCharType="separate"/>
          </w:r>
          <w:r w:rsidR="001A3940">
            <w:t>18</w:t>
          </w:r>
          <w:r w:rsidR="001A3940">
            <w:fldChar w:fldCharType="end"/>
          </w:r>
        </w:p>
        <w:p w14:paraId="00000045" w14:textId="77777777" w:rsidR="00D24D63" w:rsidRDefault="00D24D63">
          <w:pPr>
            <w:widowControl w:val="0"/>
            <w:tabs>
              <w:tab w:val="right" w:pos="9025"/>
            </w:tabs>
            <w:spacing w:before="60" w:line="240" w:lineRule="auto"/>
            <w:ind w:left="720"/>
            <w:jc w:val="left"/>
            <w:rPr>
              <w:color w:val="000000"/>
            </w:rPr>
          </w:pPr>
          <w:hyperlink w:anchor="_heading=h.d5kja4dw1b1h">
            <w:r>
              <w:rPr>
                <w:color w:val="000000"/>
              </w:rPr>
              <w:t>3.2.2 Common gaps in evidence</w:t>
            </w:r>
            <w:r>
              <w:rPr>
                <w:color w:val="000000"/>
              </w:rPr>
              <w:tab/>
            </w:r>
          </w:hyperlink>
          <w:r w:rsidR="001A3940">
            <w:fldChar w:fldCharType="begin"/>
          </w:r>
          <w:r w:rsidR="001A3940">
            <w:instrText xml:space="preserve"> PAGEREF _heading=h.d5kja4dw1b1h \h </w:instrText>
          </w:r>
          <w:r w:rsidR="001A3940">
            <w:fldChar w:fldCharType="separate"/>
          </w:r>
          <w:r w:rsidR="001A3940">
            <w:t>20</w:t>
          </w:r>
          <w:r w:rsidR="001A3940">
            <w:fldChar w:fldCharType="end"/>
          </w:r>
        </w:p>
        <w:p w14:paraId="00000046" w14:textId="77777777" w:rsidR="00D24D63" w:rsidRDefault="00D24D63">
          <w:pPr>
            <w:widowControl w:val="0"/>
            <w:tabs>
              <w:tab w:val="right" w:pos="9025"/>
            </w:tabs>
            <w:spacing w:before="60" w:line="240" w:lineRule="auto"/>
            <w:jc w:val="left"/>
            <w:rPr>
              <w:b/>
              <w:bCs/>
              <w:color w:val="000000"/>
            </w:rPr>
          </w:pPr>
          <w:hyperlink w:anchor="_heading=h.rv5wf4qhah1v">
            <w:r>
              <w:rPr>
                <w:b/>
                <w:bCs/>
                <w:color w:val="000000"/>
              </w:rPr>
              <w:t>4. Limitations</w:t>
            </w:r>
            <w:r>
              <w:rPr>
                <w:b/>
                <w:bCs/>
                <w:color w:val="000000"/>
              </w:rPr>
              <w:tab/>
            </w:r>
          </w:hyperlink>
          <w:r w:rsidR="001A3940">
            <w:fldChar w:fldCharType="begin"/>
          </w:r>
          <w:r w:rsidR="001A3940">
            <w:instrText xml:space="preserve"> PAGEREF _heading=h.rv5wf4qhah1v \h </w:instrText>
          </w:r>
          <w:r w:rsidR="001A3940">
            <w:fldChar w:fldCharType="separate"/>
          </w:r>
          <w:r w:rsidR="001A3940">
            <w:rPr>
              <w:b/>
              <w:bCs/>
            </w:rPr>
            <w:t>21</w:t>
          </w:r>
          <w:r w:rsidR="001A3940">
            <w:fldChar w:fldCharType="end"/>
          </w:r>
        </w:p>
        <w:p w14:paraId="00000047" w14:textId="77777777" w:rsidR="00D24D63" w:rsidRDefault="00D24D63">
          <w:pPr>
            <w:widowControl w:val="0"/>
            <w:tabs>
              <w:tab w:val="right" w:pos="9025"/>
            </w:tabs>
            <w:spacing w:before="60" w:line="240" w:lineRule="auto"/>
            <w:jc w:val="left"/>
            <w:rPr>
              <w:b/>
              <w:bCs/>
              <w:color w:val="000000"/>
            </w:rPr>
          </w:pPr>
          <w:hyperlink w:anchor="_heading=h.m9m9flqcdob5">
            <w:r>
              <w:rPr>
                <w:b/>
                <w:bCs/>
                <w:color w:val="000000"/>
              </w:rPr>
              <w:t>5. Opportunities and Recommendations</w:t>
            </w:r>
            <w:r>
              <w:rPr>
                <w:b/>
                <w:bCs/>
                <w:color w:val="000000"/>
              </w:rPr>
              <w:tab/>
            </w:r>
          </w:hyperlink>
          <w:r w:rsidR="001A3940">
            <w:fldChar w:fldCharType="begin"/>
          </w:r>
          <w:r w:rsidR="001A3940">
            <w:instrText xml:space="preserve"> PAGEREF _heading=h.m9m9flqcdob5 \h </w:instrText>
          </w:r>
          <w:r w:rsidR="001A3940">
            <w:fldChar w:fldCharType="separate"/>
          </w:r>
          <w:r w:rsidR="001A3940">
            <w:rPr>
              <w:b/>
              <w:bCs/>
            </w:rPr>
            <w:t>22</w:t>
          </w:r>
          <w:r w:rsidR="001A3940">
            <w:fldChar w:fldCharType="end"/>
          </w:r>
        </w:p>
        <w:p w14:paraId="00000048" w14:textId="77777777" w:rsidR="00D24D63" w:rsidRDefault="00D24D63">
          <w:pPr>
            <w:widowControl w:val="0"/>
            <w:tabs>
              <w:tab w:val="right" w:pos="9025"/>
            </w:tabs>
            <w:spacing w:before="60" w:line="240" w:lineRule="auto"/>
            <w:jc w:val="left"/>
            <w:rPr>
              <w:b/>
              <w:bCs/>
              <w:color w:val="000000"/>
            </w:rPr>
          </w:pPr>
          <w:hyperlink w:anchor="_heading=h.ae2316av63q">
            <w:r>
              <w:rPr>
                <w:b/>
                <w:bCs/>
                <w:color w:val="000000"/>
              </w:rPr>
              <w:t>References</w:t>
            </w:r>
            <w:r>
              <w:rPr>
                <w:b/>
                <w:bCs/>
                <w:color w:val="000000"/>
              </w:rPr>
              <w:tab/>
            </w:r>
          </w:hyperlink>
          <w:r w:rsidR="001A3940">
            <w:fldChar w:fldCharType="begin"/>
          </w:r>
          <w:r w:rsidR="001A3940">
            <w:instrText xml:space="preserve"> PAGEREF _heading=h.ae2316av63q \h </w:instrText>
          </w:r>
          <w:r w:rsidR="001A3940">
            <w:fldChar w:fldCharType="separate"/>
          </w:r>
          <w:r w:rsidR="001A3940">
            <w:rPr>
              <w:b/>
              <w:bCs/>
            </w:rPr>
            <w:t>25</w:t>
          </w:r>
          <w:r w:rsidR="001A3940">
            <w:fldChar w:fldCharType="end"/>
          </w:r>
        </w:p>
        <w:p w14:paraId="00000049" w14:textId="77777777" w:rsidR="00D24D63" w:rsidRDefault="00D24D63">
          <w:pPr>
            <w:widowControl w:val="0"/>
            <w:tabs>
              <w:tab w:val="right" w:pos="9025"/>
            </w:tabs>
            <w:spacing w:before="60" w:line="240" w:lineRule="auto"/>
            <w:jc w:val="left"/>
            <w:rPr>
              <w:b/>
              <w:bCs/>
              <w:color w:val="000000"/>
            </w:rPr>
          </w:pPr>
          <w:hyperlink w:anchor="_heading=h.ppbn3vjktv58">
            <w:r>
              <w:rPr>
                <w:b/>
                <w:bCs/>
                <w:color w:val="000000"/>
              </w:rPr>
              <w:t>Annexes</w:t>
            </w:r>
            <w:r>
              <w:rPr>
                <w:b/>
                <w:bCs/>
                <w:color w:val="000000"/>
              </w:rPr>
              <w:tab/>
            </w:r>
          </w:hyperlink>
          <w:r w:rsidR="001A3940">
            <w:fldChar w:fldCharType="begin"/>
          </w:r>
          <w:r w:rsidR="001A3940">
            <w:instrText xml:space="preserve"> PAGEREF _heading=h.ppbn3vjktv58 \h </w:instrText>
          </w:r>
          <w:r w:rsidR="001A3940">
            <w:fldChar w:fldCharType="separate"/>
          </w:r>
          <w:r w:rsidR="001A3940">
            <w:rPr>
              <w:b/>
              <w:bCs/>
            </w:rPr>
            <w:t>27</w:t>
          </w:r>
          <w:r w:rsidR="001A3940">
            <w:fldChar w:fldCharType="end"/>
          </w:r>
        </w:p>
        <w:p w14:paraId="0000004A" w14:textId="77777777" w:rsidR="00D24D63" w:rsidRDefault="00D24D63">
          <w:pPr>
            <w:widowControl w:val="0"/>
            <w:tabs>
              <w:tab w:val="right" w:pos="9025"/>
            </w:tabs>
            <w:spacing w:before="60" w:line="240" w:lineRule="auto"/>
            <w:ind w:left="360"/>
            <w:jc w:val="left"/>
            <w:rPr>
              <w:color w:val="000000"/>
            </w:rPr>
          </w:pPr>
          <w:hyperlink w:anchor="_heading=h.c5ezic9dbw7w">
            <w:r>
              <w:rPr>
                <w:color w:val="000000"/>
              </w:rPr>
              <w:t>Annex 1. Sector definitions and scope</w:t>
            </w:r>
            <w:r>
              <w:rPr>
                <w:color w:val="000000"/>
              </w:rPr>
              <w:tab/>
            </w:r>
          </w:hyperlink>
          <w:r w:rsidR="001A3940">
            <w:fldChar w:fldCharType="begin"/>
          </w:r>
          <w:r w:rsidR="001A3940">
            <w:instrText xml:space="preserve"> PAGEREF _heading=h.c5ezic9dbw7w \h </w:instrText>
          </w:r>
          <w:r w:rsidR="001A3940">
            <w:fldChar w:fldCharType="separate"/>
          </w:r>
          <w:r w:rsidR="001A3940">
            <w:t>27</w:t>
          </w:r>
          <w:r w:rsidR="001A3940">
            <w:fldChar w:fldCharType="end"/>
          </w:r>
        </w:p>
        <w:p w14:paraId="0000004B" w14:textId="77777777" w:rsidR="00D24D63" w:rsidRDefault="00D24D63">
          <w:pPr>
            <w:widowControl w:val="0"/>
            <w:tabs>
              <w:tab w:val="right" w:pos="9025"/>
            </w:tabs>
            <w:spacing w:before="60" w:line="240" w:lineRule="auto"/>
            <w:ind w:left="360"/>
            <w:jc w:val="left"/>
            <w:rPr>
              <w:color w:val="000000"/>
            </w:rPr>
          </w:pPr>
          <w:hyperlink w:anchor="_heading=h.igm22b9f677">
            <w:r>
              <w:rPr>
                <w:color w:val="000000"/>
              </w:rPr>
              <w:t>Annex 2. Definition of the Rs</w:t>
            </w:r>
            <w:r>
              <w:rPr>
                <w:color w:val="000000"/>
              </w:rPr>
              <w:tab/>
            </w:r>
          </w:hyperlink>
          <w:r w:rsidR="001A3940">
            <w:fldChar w:fldCharType="begin"/>
          </w:r>
          <w:r w:rsidR="001A3940">
            <w:instrText xml:space="preserve"> PAGEREF _heading=h.igm22b9f677 \h </w:instrText>
          </w:r>
          <w:r w:rsidR="001A3940">
            <w:fldChar w:fldCharType="separate"/>
          </w:r>
          <w:r w:rsidR="001A3940">
            <w:t>30</w:t>
          </w:r>
          <w:r w:rsidR="001A3940">
            <w:fldChar w:fldCharType="end"/>
          </w:r>
        </w:p>
        <w:p w14:paraId="0000004C" w14:textId="77777777" w:rsidR="00D24D63" w:rsidRDefault="00D24D63">
          <w:pPr>
            <w:widowControl w:val="0"/>
            <w:tabs>
              <w:tab w:val="right" w:pos="9025"/>
            </w:tabs>
            <w:spacing w:before="60" w:line="240" w:lineRule="auto"/>
            <w:ind w:left="360"/>
            <w:jc w:val="left"/>
            <w:rPr>
              <w:color w:val="000000"/>
            </w:rPr>
          </w:pPr>
          <w:hyperlink w:anchor="_heading=h.kv6acb4iyphu">
            <w:r>
              <w:rPr>
                <w:color w:val="000000"/>
              </w:rPr>
              <w:t>Annex 3. Definition of intervention types</w:t>
            </w:r>
            <w:r>
              <w:rPr>
                <w:color w:val="000000"/>
              </w:rPr>
              <w:tab/>
            </w:r>
          </w:hyperlink>
          <w:r w:rsidR="001A3940">
            <w:fldChar w:fldCharType="begin"/>
          </w:r>
          <w:r w:rsidR="001A3940">
            <w:instrText xml:space="preserve"> PAGEREF _heading=h.kv6acb4iyphu \h </w:instrText>
          </w:r>
          <w:r w:rsidR="001A3940">
            <w:fldChar w:fldCharType="separate"/>
          </w:r>
          <w:r w:rsidR="001A3940">
            <w:t>31</w:t>
          </w:r>
          <w:r w:rsidR="001A3940">
            <w:fldChar w:fldCharType="end"/>
          </w:r>
        </w:p>
        <w:p w14:paraId="0000004D" w14:textId="77777777" w:rsidR="00D24D63" w:rsidRDefault="00D24D63">
          <w:pPr>
            <w:widowControl w:val="0"/>
            <w:tabs>
              <w:tab w:val="right" w:pos="9025"/>
            </w:tabs>
            <w:spacing w:before="60" w:line="240" w:lineRule="auto"/>
            <w:ind w:left="360"/>
            <w:jc w:val="left"/>
            <w:rPr>
              <w:color w:val="000000"/>
            </w:rPr>
          </w:pPr>
          <w:hyperlink w:anchor="_heading=h.eejko8345mpe">
            <w:r>
              <w:rPr>
                <w:color w:val="000000"/>
              </w:rPr>
              <w:t>Annex 4. Transcript of Copilot AI search</w:t>
            </w:r>
            <w:r>
              <w:rPr>
                <w:color w:val="000000"/>
              </w:rPr>
              <w:tab/>
            </w:r>
          </w:hyperlink>
          <w:r w:rsidR="001A3940">
            <w:fldChar w:fldCharType="begin"/>
          </w:r>
          <w:r w:rsidR="001A3940">
            <w:instrText xml:space="preserve"> PAGEREF _heading=h.eejko8345mpe \h </w:instrText>
          </w:r>
          <w:r w:rsidR="001A3940">
            <w:fldChar w:fldCharType="separate"/>
          </w:r>
          <w:r w:rsidR="001A3940">
            <w:t>32</w:t>
          </w:r>
          <w:r w:rsidR="001A3940">
            <w:fldChar w:fldCharType="end"/>
          </w:r>
          <w:r w:rsidR="001A3940">
            <w:fldChar w:fldCharType="end"/>
          </w:r>
        </w:p>
      </w:sdtContent>
    </w:sdt>
    <w:p w14:paraId="00000059" w14:textId="77777777" w:rsidR="00D24D63" w:rsidRDefault="00D24D63">
      <w:bookmarkStart w:id="1" w:name="_heading=h.qavbcmymw8ax" w:colFirst="0" w:colLast="0"/>
      <w:bookmarkStart w:id="2" w:name="_heading=h.aaqaprt9oidk" w:colFirst="0" w:colLast="0"/>
      <w:bookmarkStart w:id="3" w:name="_heading=h.27b8yukbqvrq" w:colFirst="0" w:colLast="0"/>
      <w:bookmarkStart w:id="4" w:name="_heading=h.jjq4a76hi2ob" w:colFirst="0" w:colLast="0"/>
      <w:bookmarkStart w:id="5" w:name="_heading=h.hinpwr3tztim" w:colFirst="0" w:colLast="0"/>
      <w:bookmarkEnd w:id="1"/>
      <w:bookmarkEnd w:id="2"/>
      <w:bookmarkEnd w:id="3"/>
      <w:bookmarkEnd w:id="4"/>
      <w:bookmarkEnd w:id="5"/>
    </w:p>
    <w:p w14:paraId="0000005A" w14:textId="77777777" w:rsidR="00D24D63" w:rsidRDefault="00D24D63"/>
    <w:p w14:paraId="0000005B" w14:textId="77777777" w:rsidR="00D24D63" w:rsidRDefault="00D24D63"/>
    <w:p w14:paraId="0000005C" w14:textId="77777777" w:rsidR="00D24D63" w:rsidRDefault="00D24D63"/>
    <w:p w14:paraId="0000005D" w14:textId="77777777" w:rsidR="00D24D63" w:rsidRDefault="00D24D63"/>
    <w:p w14:paraId="7FBD430A" w14:textId="77777777" w:rsidR="0033244E" w:rsidRDefault="0033244E">
      <w:pPr>
        <w:rPr>
          <w:b/>
          <w:bCs/>
          <w:color w:val="0B5394"/>
          <w:sz w:val="32"/>
          <w:szCs w:val="32"/>
        </w:rPr>
      </w:pPr>
      <w:bookmarkStart w:id="6" w:name="_heading=h.gdypkiylqj3q" w:colFirst="0" w:colLast="0"/>
      <w:bookmarkEnd w:id="6"/>
      <w:r>
        <w:br w:type="page"/>
      </w:r>
    </w:p>
    <w:p w14:paraId="0000005E" w14:textId="30F3457B" w:rsidR="00D24D63" w:rsidRDefault="001A3940">
      <w:pPr>
        <w:pStyle w:val="Heading1"/>
        <w:spacing w:after="200"/>
      </w:pPr>
      <w:r>
        <w:lastRenderedPageBreak/>
        <w:t>Acronyms</w:t>
      </w:r>
    </w:p>
    <w:tbl>
      <w:tblPr>
        <w:tblStyle w:val="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7320"/>
      </w:tblGrid>
      <w:tr w:rsidR="00D24D63" w14:paraId="7E0B0E5E"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5F" w14:textId="5D1C25FB" w:rsidR="00D24D63" w:rsidRDefault="001A3940">
            <w:pPr>
              <w:widowControl w:val="0"/>
              <w:pBdr>
                <w:top w:val="nil"/>
                <w:left w:val="nil"/>
                <w:bottom w:val="nil"/>
                <w:right w:val="nil"/>
                <w:between w:val="nil"/>
              </w:pBdr>
              <w:spacing w:line="240" w:lineRule="auto"/>
              <w:jc w:val="left"/>
            </w:pPr>
            <w:r>
              <w:t>CETF</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0" w14:textId="77777777" w:rsidR="00D24D63" w:rsidRDefault="001A3940">
            <w:pPr>
              <w:widowControl w:val="0"/>
              <w:pBdr>
                <w:top w:val="nil"/>
                <w:left w:val="nil"/>
                <w:bottom w:val="nil"/>
                <w:right w:val="nil"/>
                <w:between w:val="nil"/>
              </w:pBdr>
              <w:spacing w:line="240" w:lineRule="auto"/>
              <w:jc w:val="left"/>
            </w:pPr>
            <w:r>
              <w:t>Circular Economy Task Force</w:t>
            </w:r>
          </w:p>
        </w:tc>
      </w:tr>
      <w:tr w:rsidR="00D24D63" w14:paraId="09332563"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1" w14:textId="77777777" w:rsidR="00D24D63" w:rsidRDefault="001A3940">
            <w:pPr>
              <w:widowControl w:val="0"/>
              <w:pBdr>
                <w:top w:val="nil"/>
                <w:left w:val="nil"/>
                <w:bottom w:val="nil"/>
                <w:right w:val="nil"/>
                <w:between w:val="nil"/>
              </w:pBdr>
              <w:spacing w:line="240" w:lineRule="auto"/>
              <w:jc w:val="left"/>
            </w:pPr>
            <w:r>
              <w:t>DEFRA</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2" w14:textId="77777777" w:rsidR="00D24D63" w:rsidRDefault="001A3940">
            <w:pPr>
              <w:widowControl w:val="0"/>
              <w:pBdr>
                <w:top w:val="nil"/>
                <w:left w:val="nil"/>
                <w:bottom w:val="nil"/>
                <w:right w:val="nil"/>
                <w:between w:val="nil"/>
              </w:pBdr>
              <w:spacing w:line="240" w:lineRule="auto"/>
              <w:jc w:val="left"/>
            </w:pPr>
            <w:r>
              <w:t>Department of Environment, Food &amp; Rural Affairs</w:t>
            </w:r>
          </w:p>
        </w:tc>
      </w:tr>
      <w:tr w:rsidR="00D24D63" w14:paraId="0A2DF666" w14:textId="77777777">
        <w:trPr>
          <w:trHeight w:val="459"/>
        </w:trPr>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3" w14:textId="77777777" w:rsidR="00D24D63" w:rsidRDefault="001A3940">
            <w:pPr>
              <w:widowControl w:val="0"/>
              <w:spacing w:line="240" w:lineRule="auto"/>
              <w:jc w:val="left"/>
            </w:pPr>
            <w:r>
              <w:t>EEE</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4" w14:textId="77777777" w:rsidR="00D24D63" w:rsidRDefault="001A3940">
            <w:pPr>
              <w:widowControl w:val="0"/>
              <w:spacing w:line="240" w:lineRule="auto"/>
              <w:jc w:val="left"/>
            </w:pPr>
            <w:r>
              <w:t xml:space="preserve">Electrical &amp; Electronic Equipment </w:t>
            </w:r>
          </w:p>
        </w:tc>
      </w:tr>
      <w:tr w:rsidR="00D24D63" w14:paraId="205259B5" w14:textId="77777777">
        <w:trPr>
          <w:trHeight w:val="459"/>
        </w:trPr>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5" w14:textId="77777777" w:rsidR="00D24D63" w:rsidRDefault="001A3940">
            <w:pPr>
              <w:widowControl w:val="0"/>
              <w:spacing w:line="240" w:lineRule="auto"/>
              <w:jc w:val="left"/>
            </w:pPr>
            <w:r>
              <w:t>WEEE</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6" w14:textId="77777777" w:rsidR="00D24D63" w:rsidRDefault="001A3940">
            <w:pPr>
              <w:widowControl w:val="0"/>
              <w:spacing w:line="240" w:lineRule="auto"/>
              <w:jc w:val="left"/>
            </w:pPr>
            <w:r>
              <w:t xml:space="preserve">Waste Electrical &amp; Electronic Equipment </w:t>
            </w:r>
          </w:p>
        </w:tc>
      </w:tr>
      <w:tr w:rsidR="00D24D63" w14:paraId="12484681"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7" w14:textId="77777777" w:rsidR="00D24D63" w:rsidRDefault="001A3940">
            <w:pPr>
              <w:widowControl w:val="0"/>
              <w:pBdr>
                <w:top w:val="nil"/>
                <w:left w:val="nil"/>
                <w:bottom w:val="nil"/>
                <w:right w:val="nil"/>
                <w:between w:val="nil"/>
              </w:pBdr>
              <w:spacing w:line="240" w:lineRule="auto"/>
              <w:jc w:val="left"/>
            </w:pPr>
            <w:r>
              <w:t>UKRI</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8" w14:textId="77777777" w:rsidR="00D24D63" w:rsidRDefault="001A3940">
            <w:pPr>
              <w:widowControl w:val="0"/>
              <w:pBdr>
                <w:top w:val="nil"/>
                <w:left w:val="nil"/>
                <w:bottom w:val="nil"/>
                <w:right w:val="nil"/>
                <w:between w:val="nil"/>
              </w:pBdr>
              <w:spacing w:line="240" w:lineRule="auto"/>
              <w:jc w:val="left"/>
            </w:pPr>
            <w:r>
              <w:t>UK Research &amp; Innovation</w:t>
            </w:r>
          </w:p>
        </w:tc>
      </w:tr>
      <w:tr w:rsidR="00D24D63" w14:paraId="79C57CDB"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9" w14:textId="77777777" w:rsidR="00D24D63" w:rsidRDefault="001A3940">
            <w:pPr>
              <w:widowControl w:val="0"/>
              <w:pBdr>
                <w:top w:val="nil"/>
                <w:left w:val="nil"/>
                <w:bottom w:val="nil"/>
                <w:right w:val="nil"/>
                <w:between w:val="nil"/>
              </w:pBdr>
              <w:spacing w:line="240" w:lineRule="auto"/>
              <w:jc w:val="left"/>
            </w:pPr>
            <w:r>
              <w:t>AHRC</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A" w14:textId="77777777" w:rsidR="00D24D63" w:rsidRDefault="001A3940">
            <w:pPr>
              <w:widowControl w:val="0"/>
              <w:pBdr>
                <w:top w:val="nil"/>
                <w:left w:val="nil"/>
                <w:bottom w:val="nil"/>
                <w:right w:val="nil"/>
                <w:between w:val="nil"/>
              </w:pBdr>
              <w:spacing w:line="240" w:lineRule="auto"/>
              <w:jc w:val="left"/>
            </w:pPr>
            <w:r>
              <w:t>Arts &amp; Humanities Research Council</w:t>
            </w:r>
          </w:p>
        </w:tc>
      </w:tr>
      <w:tr w:rsidR="00D24D63" w14:paraId="2853CE07"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B" w14:textId="77777777" w:rsidR="00D24D63" w:rsidRDefault="001A3940">
            <w:pPr>
              <w:widowControl w:val="0"/>
              <w:pBdr>
                <w:top w:val="nil"/>
                <w:left w:val="nil"/>
                <w:bottom w:val="nil"/>
                <w:right w:val="nil"/>
                <w:between w:val="nil"/>
              </w:pBdr>
              <w:spacing w:line="240" w:lineRule="auto"/>
              <w:jc w:val="left"/>
            </w:pPr>
            <w:r>
              <w:t>BBSRC</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C" w14:textId="77777777" w:rsidR="00D24D63" w:rsidRDefault="001A3940">
            <w:pPr>
              <w:widowControl w:val="0"/>
              <w:pBdr>
                <w:top w:val="nil"/>
                <w:left w:val="nil"/>
                <w:bottom w:val="nil"/>
                <w:right w:val="nil"/>
                <w:between w:val="nil"/>
              </w:pBdr>
              <w:spacing w:line="240" w:lineRule="auto"/>
              <w:jc w:val="left"/>
            </w:pPr>
            <w:r>
              <w:t>Biotechnology &amp; Biological Sciences Research Council</w:t>
            </w:r>
          </w:p>
        </w:tc>
      </w:tr>
      <w:tr w:rsidR="00D24D63" w14:paraId="3213AEBF"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D" w14:textId="77777777" w:rsidR="00D24D63" w:rsidRDefault="001A3940">
            <w:pPr>
              <w:widowControl w:val="0"/>
              <w:pBdr>
                <w:top w:val="nil"/>
                <w:left w:val="nil"/>
                <w:bottom w:val="nil"/>
                <w:right w:val="nil"/>
                <w:between w:val="nil"/>
              </w:pBdr>
              <w:spacing w:line="240" w:lineRule="auto"/>
              <w:jc w:val="left"/>
            </w:pPr>
            <w:r>
              <w:t>EPSRC</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E" w14:textId="77777777" w:rsidR="00D24D63" w:rsidRDefault="001A3940">
            <w:pPr>
              <w:widowControl w:val="0"/>
              <w:pBdr>
                <w:top w:val="nil"/>
                <w:left w:val="nil"/>
                <w:bottom w:val="nil"/>
                <w:right w:val="nil"/>
                <w:between w:val="nil"/>
              </w:pBdr>
              <w:spacing w:line="240" w:lineRule="auto"/>
              <w:jc w:val="left"/>
            </w:pPr>
            <w:r>
              <w:t>Engineering &amp; Physical Sciences Research Council</w:t>
            </w:r>
          </w:p>
        </w:tc>
      </w:tr>
      <w:tr w:rsidR="00D24D63" w14:paraId="3823A4D0" w14:textId="77777777">
        <w:tc>
          <w:tcPr>
            <w:tcW w:w="168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6F" w14:textId="77777777" w:rsidR="00D24D63" w:rsidRDefault="001A3940">
            <w:pPr>
              <w:widowControl w:val="0"/>
              <w:pBdr>
                <w:top w:val="nil"/>
                <w:left w:val="nil"/>
                <w:bottom w:val="nil"/>
                <w:right w:val="nil"/>
                <w:between w:val="nil"/>
              </w:pBdr>
              <w:spacing w:line="240" w:lineRule="auto"/>
              <w:jc w:val="left"/>
            </w:pPr>
            <w:r>
              <w:t>TRL</w:t>
            </w:r>
          </w:p>
        </w:tc>
        <w:tc>
          <w:tcPr>
            <w:tcW w:w="7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070" w14:textId="334AF169" w:rsidR="00D24D63" w:rsidRDefault="001A3940">
            <w:pPr>
              <w:widowControl w:val="0"/>
              <w:pBdr>
                <w:top w:val="nil"/>
                <w:left w:val="nil"/>
                <w:bottom w:val="nil"/>
                <w:right w:val="nil"/>
                <w:between w:val="nil"/>
              </w:pBdr>
              <w:spacing w:line="240" w:lineRule="auto"/>
              <w:jc w:val="left"/>
            </w:pPr>
            <w:r>
              <w:t>Technology Readiness Level</w:t>
            </w:r>
          </w:p>
        </w:tc>
      </w:tr>
    </w:tbl>
    <w:p w14:paraId="00000071" w14:textId="77777777" w:rsidR="00D24D63" w:rsidRDefault="00D24D63"/>
    <w:p w14:paraId="00000072" w14:textId="77777777" w:rsidR="00D24D63" w:rsidRDefault="001A3940">
      <w:pPr>
        <w:pStyle w:val="Heading1"/>
      </w:pPr>
      <w:bookmarkStart w:id="7" w:name="_heading=h.ucc1vo76x12t" w:colFirst="0" w:colLast="0"/>
      <w:bookmarkEnd w:id="7"/>
      <w:r>
        <w:br w:type="page"/>
      </w:r>
    </w:p>
    <w:p w14:paraId="00000073" w14:textId="77777777" w:rsidR="00D24D63" w:rsidRDefault="001A3940">
      <w:pPr>
        <w:pStyle w:val="Heading1"/>
      </w:pPr>
      <w:bookmarkStart w:id="8" w:name="_heading=h.s14xfc29j9dp" w:colFirst="0" w:colLast="0"/>
      <w:bookmarkEnd w:id="8"/>
      <w:r>
        <w:lastRenderedPageBreak/>
        <w:t xml:space="preserve">1. Introduction </w:t>
      </w:r>
    </w:p>
    <w:p w14:paraId="00000074" w14:textId="3BC8446D" w:rsidR="00D24D63" w:rsidRDefault="001A3940">
      <w:r>
        <w:t xml:space="preserve">The circular economy has gained prominence as a means of decoupling economic activity from resource extraction while reducing waste and environmental harm (UNEP, 2023). Much of the global progress to date, however, has been concentrated at the lower rungs of the waste hierarchy , particularly recycling. While recycling plays an important role, it is energy-intensive and risks reinforcing consumption-oriented models rather than reducing material throughput (Kirchherr et al., 2017; Abu-Bakar &amp; Charnley, 2025). Higher-order strategies in the waste hierarchy such as refusing, reducing, reusing, repairing, refurbishing, remanufacturing, and repurposing (Figure 1) retain value for longer and are widely recognised as more effective approaches to achieving circularity (Baldassarre &amp; Carrara, 2025). While examples of such practices exist, they remain unevenly distributed across sectors and geographies, and the evidence base on their effectiveness is limited. </w:t>
      </w:r>
    </w:p>
    <w:p w14:paraId="00000075" w14:textId="77777777" w:rsidR="00D24D63" w:rsidRDefault="001A3940">
      <w:pPr>
        <w:jc w:val="center"/>
      </w:pPr>
      <w:r>
        <w:rPr>
          <w:noProof/>
        </w:rPr>
        <w:drawing>
          <wp:inline distT="114300" distB="114300" distL="114300" distR="114300" wp14:anchorId="57F6F1C2" wp14:editId="37A57D23">
            <wp:extent cx="4452938" cy="323244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452938" cy="3232448"/>
                    </a:xfrm>
                    <a:prstGeom prst="rect">
                      <a:avLst/>
                    </a:prstGeom>
                    <a:ln/>
                  </pic:spPr>
                </pic:pic>
              </a:graphicData>
            </a:graphic>
          </wp:inline>
        </w:drawing>
      </w:r>
    </w:p>
    <w:p w14:paraId="00000076" w14:textId="77777777" w:rsidR="00D24D63" w:rsidRDefault="001A3940">
      <w:pPr>
        <w:jc w:val="center"/>
        <w:rPr>
          <w:sz w:val="20"/>
          <w:szCs w:val="20"/>
        </w:rPr>
      </w:pPr>
      <w:r>
        <w:rPr>
          <w:b/>
          <w:bCs/>
          <w:i/>
          <w:iCs/>
          <w:sz w:val="20"/>
          <w:szCs w:val="20"/>
        </w:rPr>
        <w:t>Figure 1.</w:t>
      </w:r>
      <w:r>
        <w:rPr>
          <w:i/>
          <w:iCs/>
          <w:sz w:val="20"/>
          <w:szCs w:val="20"/>
        </w:rPr>
        <w:t xml:space="preserve"> Waste hierarchy. </w:t>
      </w:r>
      <w:r>
        <w:rPr>
          <w:sz w:val="20"/>
          <w:szCs w:val="20"/>
        </w:rPr>
        <w:t>Source: Global Plastics Policy Centre 2024a</w:t>
      </w:r>
    </w:p>
    <w:p w14:paraId="00000077" w14:textId="77777777" w:rsidR="00D24D63" w:rsidRDefault="00D24D63">
      <w:pPr>
        <w:jc w:val="center"/>
        <w:rPr>
          <w:sz w:val="20"/>
          <w:szCs w:val="20"/>
        </w:rPr>
      </w:pPr>
    </w:p>
    <w:p w14:paraId="00000078" w14:textId="77777777" w:rsidR="00D24D63" w:rsidRDefault="001A3940">
      <w:r>
        <w:t xml:space="preserve">In the UK, attention has largely centred on recycling rates and waste diversion, with fewer systematic assessments of activity above recycling (Abu-Bakar &amp; Charnley, 2025). As a result, opportunities to scale interventions that deliver greater environmental and economic benefits risk being overlooked. </w:t>
      </w:r>
    </w:p>
    <w:p w14:paraId="00000079" w14:textId="77777777" w:rsidR="00D24D63" w:rsidRDefault="00D24D63"/>
    <w:p w14:paraId="0000007A" w14:textId="2061E9A1" w:rsidR="00D24D63" w:rsidRDefault="001A3940">
      <w:r w:rsidRPr="0087217B">
        <w:t>As part of their</w:t>
      </w:r>
      <w:r w:rsidR="00CC484E" w:rsidRPr="0087217B">
        <w:t xml:space="preserve"> commitment towards transitioning to a circular economy</w:t>
      </w:r>
      <w:r w:rsidRPr="0087217B">
        <w:t xml:space="preserve">, the Department of Environment, Food and Rural Affairs (Defra) has identified six priority sectors (agri-food, chemicals and plastics, transport, the built environment, textiles, and electrical and electronic equipment - EEE) as </w:t>
      </w:r>
      <w:r w:rsidR="00B54CF0" w:rsidRPr="0087217B">
        <w:t>the biggest opportunities to support growth across the economy</w:t>
      </w:r>
      <w:r w:rsidRPr="0087217B">
        <w:t>. Together these sectors account for a large share of material use, waste generation, and carbon emissions in the UK, but also offer potential opportunities for innovation, investment, and value retention nationally and globally (OECD, 2024).</w:t>
      </w:r>
    </w:p>
    <w:p w14:paraId="0000007B" w14:textId="77777777" w:rsidR="00D24D63" w:rsidRDefault="00D24D63"/>
    <w:p w14:paraId="0000007C" w14:textId="5A455DF0" w:rsidR="00D24D63" w:rsidRDefault="001A3940">
      <w:r>
        <w:lastRenderedPageBreak/>
        <w:t>A clear understanding of current interventions across these sectors, and the gaps that remain in research, development and innovation, is central to supporting the UK’s transition “beyond recycling.” Through an evidence-based mapping of activities above recycling on the waste hierarchy, and identifying where information is limited or absent, this work holds potential to inform future perspectives and investment on research and innovation.</w:t>
      </w:r>
    </w:p>
    <w:p w14:paraId="0000007D" w14:textId="77777777" w:rsidR="00D24D63" w:rsidRDefault="00D24D63"/>
    <w:p w14:paraId="0000007E" w14:textId="77777777" w:rsidR="00D24D63" w:rsidRDefault="001A3940">
      <w:r>
        <w:t xml:space="preserve">This report is structured in five main sections. Following this introduction, Section 2 details the methods used to map interventions on higher-order Rs for improved circularity. Section 3 presents an overview of findings from each sector and those that cross-cut the sectors, including common gaps in innovation and evidence. Section 4 highlights the limitations to this research and Section 5 indicates opportunities for further research as well as recommendations for circular economy progression in the UK. </w:t>
      </w:r>
    </w:p>
    <w:p w14:paraId="0000007F" w14:textId="77777777" w:rsidR="00D24D63" w:rsidRDefault="00D24D63"/>
    <w:p w14:paraId="00000080" w14:textId="4F5319DC" w:rsidR="00D24D63" w:rsidRDefault="001A3940">
      <w:pPr>
        <w:pStyle w:val="Heading1"/>
      </w:pPr>
      <w:bookmarkStart w:id="9" w:name="_heading=h.4ydpmj6v5yyf" w:colFirst="0" w:colLast="0"/>
      <w:bookmarkEnd w:id="9"/>
      <w:r>
        <w:t xml:space="preserve">2. Methods </w:t>
      </w:r>
    </w:p>
    <w:p w14:paraId="00000081" w14:textId="335CC3CF" w:rsidR="00D24D63" w:rsidRDefault="001A3940">
      <w:r>
        <w:t>A rapid evidence mapping approach was designed to capture and organise information on circular economy interventions above recycling across the six priority sectors (defined in Annex 1). The aim was not to generate new data but to collate and systemise what is already known, identifying both activity and evidence gaps. The mapping was undertaken in four parts.</w:t>
      </w:r>
    </w:p>
    <w:p w14:paraId="00000082" w14:textId="77777777" w:rsidR="00D24D63" w:rsidRDefault="00D24D63"/>
    <w:p w14:paraId="00000083" w14:textId="77777777" w:rsidR="00D24D63" w:rsidRDefault="001A3940">
      <w:pPr>
        <w:rPr>
          <w:b/>
          <w:bCs/>
        </w:rPr>
      </w:pPr>
      <w:r>
        <w:rPr>
          <w:b/>
          <w:bCs/>
        </w:rPr>
        <w:t>2.1 Definition of scope</w:t>
      </w:r>
    </w:p>
    <w:p w14:paraId="00000084" w14:textId="77777777" w:rsidR="00D24D63" w:rsidRDefault="001A3940">
      <w:r>
        <w:t>The scope of the mapping exercise was defined through a structured scoping process to ensure consistency and focus. This involved reviewing existing circular economy frameworks and relevant UK and international literature to identify how activities above recycling are typically categorised. From this, three core parameters were agreed: the Rs, the sectors, and the intervention types.</w:t>
      </w:r>
    </w:p>
    <w:p w14:paraId="00000085" w14:textId="77777777" w:rsidR="00D24D63" w:rsidRDefault="00D24D63"/>
    <w:p w14:paraId="00000086" w14:textId="77777777" w:rsidR="00D24D63" w:rsidRDefault="001A3940">
      <w:r>
        <w:t>The Rs (Refuse, Reduce, Reuse, Repair, Refurbish, Remanufacture, and Repurpose) were defined based on the hierarchy proposed by Kirchherr et al. (2017), adapted to fit Defra’s framing of activities “above recycling”, and more recent literature on some of the Rs (Global Plastics Policy Centre, 2023). These definitions were discussed and refined with reference to current UK policy language to ensure alignment and are set out in Annex 1.</w:t>
      </w:r>
    </w:p>
    <w:p w14:paraId="00000087" w14:textId="77777777" w:rsidR="00D24D63" w:rsidRDefault="00D24D63"/>
    <w:p w14:paraId="00000088" w14:textId="3E343BA3" w:rsidR="00D24D63" w:rsidRDefault="001A3940">
      <w:r>
        <w:t>The sectors (agri-food, chemicals and plastics, transport, built environment, and textiles, plus electrical and electronic equipment, where relevant) were defined using Defra’s sector descriptions provided. Each sector boundary was then clarified to specify included and excluded activities, as set out in Annex 2.</w:t>
      </w:r>
    </w:p>
    <w:p w14:paraId="00000089" w14:textId="77777777" w:rsidR="00D24D63" w:rsidRDefault="00D24D63"/>
    <w:p w14:paraId="0000008A" w14:textId="15DDD541" w:rsidR="00D24D63" w:rsidRDefault="001A3940">
      <w:r>
        <w:t>Identified intervention types were grouped into eight analytical categories to ensure comparability across sectors: product innovation, technology development, system or infrastructure change, business model innovation, operational or process efficiency, policy or standard, consumer engagement and behaviour change, and research and innovation. These categories capture the range of approaches that contribute to circularity beyond recycling and allow cross-sector patterns to be identified. Definitions for each category are provided in Annex 3.</w:t>
      </w:r>
    </w:p>
    <w:p w14:paraId="0000008B" w14:textId="77777777" w:rsidR="00D24D63" w:rsidRDefault="00D24D63"/>
    <w:p w14:paraId="0000008C" w14:textId="6F05141B" w:rsidR="00D24D63" w:rsidRDefault="001A3940">
      <w:r>
        <w:lastRenderedPageBreak/>
        <w:t>These definitions were applied by all researchers to ensure the same parameters when screening and coding interventions.</w:t>
      </w:r>
    </w:p>
    <w:p w14:paraId="0000008D" w14:textId="77777777" w:rsidR="00D24D63" w:rsidRDefault="00D24D63"/>
    <w:p w14:paraId="0000008E" w14:textId="77777777" w:rsidR="00D24D63" w:rsidRDefault="001A3940">
      <w:pPr>
        <w:rPr>
          <w:b/>
          <w:bCs/>
        </w:rPr>
      </w:pPr>
      <w:r>
        <w:rPr>
          <w:b/>
          <w:bCs/>
        </w:rPr>
        <w:t>2.2 Evidence collection</w:t>
      </w:r>
    </w:p>
    <w:p w14:paraId="0000008F" w14:textId="77777777" w:rsidR="00D24D63" w:rsidRDefault="001A3940">
      <w:pPr>
        <w:spacing w:before="240"/>
      </w:pPr>
      <w:r>
        <w:t>Evidence was drawn from academic and grey literature, industry reports, patents, and policy documents. Searches were conducted, structured by sector and R, with targeted search strings combining both terms such as (using Reuse-Textiles as the R-Sector combination, for example):</w:t>
      </w:r>
    </w:p>
    <w:p w14:paraId="00000090" w14:textId="77777777" w:rsidR="00D24D63" w:rsidRDefault="001A3940">
      <w:pPr>
        <w:numPr>
          <w:ilvl w:val="0"/>
          <w:numId w:val="12"/>
        </w:numPr>
        <w:spacing w:before="240"/>
      </w:pPr>
      <w:r>
        <w:t>“UK case studies in reuse in textiles”</w:t>
      </w:r>
    </w:p>
    <w:p w14:paraId="00000091" w14:textId="77777777" w:rsidR="00D24D63" w:rsidRDefault="001A3940">
      <w:pPr>
        <w:numPr>
          <w:ilvl w:val="0"/>
          <w:numId w:val="12"/>
        </w:numPr>
      </w:pPr>
      <w:r>
        <w:t xml:space="preserve">“UK and reuse and textiles sector” </w:t>
      </w:r>
    </w:p>
    <w:p w14:paraId="00000092" w14:textId="77777777" w:rsidR="00D24D63" w:rsidRDefault="001A3940">
      <w:pPr>
        <w:numPr>
          <w:ilvl w:val="0"/>
          <w:numId w:val="12"/>
        </w:numPr>
      </w:pPr>
      <w:r>
        <w:t>“UK businesses and reuse in the textile sector”</w:t>
      </w:r>
    </w:p>
    <w:p w14:paraId="00000093" w14:textId="77777777" w:rsidR="00D24D63" w:rsidRDefault="001A3940">
      <w:pPr>
        <w:spacing w:before="240"/>
      </w:pPr>
      <w:r>
        <w:t xml:space="preserve">In cases that returned limited results, more focused searches were conducted, using specific scope elements such as: </w:t>
      </w:r>
    </w:p>
    <w:p w14:paraId="00000094" w14:textId="77777777" w:rsidR="00D24D63" w:rsidRDefault="001A3940">
      <w:pPr>
        <w:numPr>
          <w:ilvl w:val="0"/>
          <w:numId w:val="21"/>
        </w:numPr>
        <w:spacing w:before="240"/>
      </w:pPr>
      <w:r>
        <w:t>“UK case studies of reuse in the clothing sector”</w:t>
      </w:r>
    </w:p>
    <w:p w14:paraId="00000095" w14:textId="77777777" w:rsidR="00D24D63" w:rsidRDefault="001A3940">
      <w:pPr>
        <w:numPr>
          <w:ilvl w:val="0"/>
          <w:numId w:val="21"/>
        </w:numPr>
      </w:pPr>
      <w:r>
        <w:t>“UK case study of renting and reusing in the clothes sector”</w:t>
      </w:r>
    </w:p>
    <w:p w14:paraId="00000096" w14:textId="77777777" w:rsidR="00D24D63" w:rsidRDefault="001A3940">
      <w:pPr>
        <w:numPr>
          <w:ilvl w:val="0"/>
          <w:numId w:val="21"/>
        </w:numPr>
      </w:pPr>
      <w:r>
        <w:t>“Interventions of reuse in the clothing industry”</w:t>
      </w:r>
    </w:p>
    <w:p w14:paraId="00000097" w14:textId="77777777" w:rsidR="00D24D63" w:rsidRDefault="001A3940">
      <w:pPr>
        <w:spacing w:before="240"/>
      </w:pPr>
      <w:r>
        <w:t>Searches using the UKRI repositories were conducted using Boolean searches, using operators such as “and” to separate the terms, to ensure relevant results. “UK” was not a search term used due to UKRI only lists interventions that have been funded by the UK government, for example:</w:t>
      </w:r>
    </w:p>
    <w:p w14:paraId="00000098" w14:textId="77777777" w:rsidR="00D24D63" w:rsidRDefault="001A3940">
      <w:pPr>
        <w:numPr>
          <w:ilvl w:val="0"/>
          <w:numId w:val="3"/>
        </w:numPr>
        <w:spacing w:before="240"/>
      </w:pPr>
      <w:r>
        <w:t xml:space="preserve">“Electrical waste and repair” </w:t>
      </w:r>
    </w:p>
    <w:p w14:paraId="00000099" w14:textId="77777777" w:rsidR="00D24D63" w:rsidRDefault="001A3940">
      <w:pPr>
        <w:spacing w:before="240"/>
      </w:pPr>
      <w:r>
        <w:t>Similarly, in cases where limited results were returned, more specific search terms were used to replace the broader sector terms. For example, replacing “electrical waste” with “small appliances, laptops, phones” in order to widen the number of results.</w:t>
      </w:r>
    </w:p>
    <w:p w14:paraId="0000009A" w14:textId="77777777" w:rsidR="00D24D63" w:rsidRDefault="001A3940">
      <w:pPr>
        <w:spacing w:before="240"/>
      </w:pPr>
      <w:r>
        <w:t xml:space="preserve">Searches were also conducted using the Ellen MacArthur Foundation case study repositories with broad searches structured by the different sectors and R such as: </w:t>
      </w:r>
    </w:p>
    <w:p w14:paraId="0000009B" w14:textId="77777777" w:rsidR="00D24D63" w:rsidRDefault="001A3940">
      <w:pPr>
        <w:numPr>
          <w:ilvl w:val="0"/>
          <w:numId w:val="2"/>
        </w:numPr>
        <w:spacing w:before="240"/>
      </w:pPr>
      <w:r>
        <w:t>“UK and textiles and reuse”</w:t>
      </w:r>
    </w:p>
    <w:p w14:paraId="0000009C" w14:textId="77777777" w:rsidR="00D24D63" w:rsidRDefault="001A3940">
      <w:pPr>
        <w:numPr>
          <w:ilvl w:val="0"/>
          <w:numId w:val="2"/>
        </w:numPr>
      </w:pPr>
      <w:r>
        <w:t>“UK and clothing and reuse”</w:t>
      </w:r>
    </w:p>
    <w:p w14:paraId="0000009D" w14:textId="77777777" w:rsidR="00D24D63" w:rsidRDefault="001A3940">
      <w:pPr>
        <w:numPr>
          <w:ilvl w:val="0"/>
          <w:numId w:val="2"/>
        </w:numPr>
      </w:pPr>
      <w:r>
        <w:t>“UK and clothing and resale”</w:t>
      </w:r>
    </w:p>
    <w:p w14:paraId="0000009E" w14:textId="77777777" w:rsidR="00D24D63" w:rsidRDefault="001A3940">
      <w:pPr>
        <w:spacing w:before="240"/>
      </w:pPr>
      <w:r>
        <w:t>Searches were conducted using platforms such as Google Scholar, Scopus, and other publicly accessible databases, supported by targeted website and repository reviews including that of UKRI</w:t>
      </w:r>
      <w:r>
        <w:rPr>
          <w:vertAlign w:val="superscript"/>
        </w:rPr>
        <w:footnoteReference w:id="1"/>
      </w:r>
      <w:r>
        <w:t xml:space="preserve"> , Recoup</w:t>
      </w:r>
      <w:r>
        <w:rPr>
          <w:vertAlign w:val="superscript"/>
        </w:rPr>
        <w:footnoteReference w:id="2"/>
      </w:r>
      <w:r>
        <w:t>, Ellen MacArthur Foundation</w:t>
      </w:r>
      <w:r>
        <w:rPr>
          <w:vertAlign w:val="superscript"/>
        </w:rPr>
        <w:footnoteReference w:id="3"/>
      </w:r>
      <w:r>
        <w:t>, AHRC</w:t>
      </w:r>
      <w:r>
        <w:rPr>
          <w:vertAlign w:val="superscript"/>
        </w:rPr>
        <w:t>4</w:t>
      </w:r>
      <w:r>
        <w:t>, BBSRC</w:t>
      </w:r>
      <w:r>
        <w:rPr>
          <w:vertAlign w:val="superscript"/>
        </w:rPr>
        <w:t>5</w:t>
      </w:r>
      <w:r>
        <w:t xml:space="preserve"> and EPSRC</w:t>
      </w:r>
      <w:r>
        <w:rPr>
          <w:vertAlign w:val="superscript"/>
        </w:rPr>
        <w:t xml:space="preserve">6 </w:t>
      </w:r>
      <w:r>
        <w:t>.</w:t>
      </w:r>
    </w:p>
    <w:p w14:paraId="0000009F" w14:textId="77777777" w:rsidR="00D24D63" w:rsidRDefault="001A3940">
      <w:pPr>
        <w:spacing w:before="240" w:after="240"/>
      </w:pPr>
      <w:r>
        <w:lastRenderedPageBreak/>
        <w:t>Given the large number of sector–R combinations and short delivery window, manual searches were complemented by AI-assisted searches using CoPilot. Parameters for sectors, Rs, and intervention types (as defined in Annexes 1–3) were set at the outset so that only interventions falling within these boundaries were returned. Each AI search focused on a single sector–R combination, reducing the time spent screening irrelevant material. Initially, broad searches were conducted, structured by sector and R, with targeted search strings combining both terms, for example:</w:t>
      </w:r>
    </w:p>
    <w:p w14:paraId="000000A0" w14:textId="77777777" w:rsidR="00D24D63" w:rsidRDefault="001A3940">
      <w:pPr>
        <w:numPr>
          <w:ilvl w:val="0"/>
          <w:numId w:val="12"/>
        </w:numPr>
        <w:spacing w:before="240"/>
      </w:pPr>
      <w:r>
        <w:t>“UK Built Environment sector circular economy repair innovation”</w:t>
      </w:r>
    </w:p>
    <w:p w14:paraId="000000A1" w14:textId="77777777" w:rsidR="00D24D63" w:rsidRDefault="001A3940">
      <w:pPr>
        <w:numPr>
          <w:ilvl w:val="0"/>
          <w:numId w:val="12"/>
        </w:numPr>
      </w:pPr>
      <w:r>
        <w:t>“UKRI funded projects repair of built environment systems”</w:t>
      </w:r>
    </w:p>
    <w:p w14:paraId="000000A2" w14:textId="77777777" w:rsidR="00D24D63" w:rsidRDefault="001A3940">
      <w:pPr>
        <w:numPr>
          <w:ilvl w:val="0"/>
          <w:numId w:val="12"/>
        </w:numPr>
      </w:pPr>
      <w:r>
        <w:t>“Industry reports UK built environment repair strategies circular economy”</w:t>
      </w:r>
    </w:p>
    <w:p w14:paraId="000000A3" w14:textId="77777777" w:rsidR="00D24D63" w:rsidRDefault="001A3940">
      <w:pPr>
        <w:spacing w:before="240"/>
      </w:pPr>
      <w:r>
        <w:t>In cases where returned results were limited, more specific searches were conducted, with search strings containing individual, in scope elements of each sector, for example:</w:t>
      </w:r>
    </w:p>
    <w:p w14:paraId="000000A4" w14:textId="77777777" w:rsidR="00D24D63" w:rsidRDefault="001A3940">
      <w:pPr>
        <w:numPr>
          <w:ilvl w:val="0"/>
          <w:numId w:val="12"/>
        </w:numPr>
        <w:spacing w:before="240"/>
      </w:pPr>
      <w:r>
        <w:t>“UK case studies repair of construction materials or building components circular economy”</w:t>
      </w:r>
    </w:p>
    <w:p w14:paraId="000000A5" w14:textId="77777777" w:rsidR="00D24D63" w:rsidRDefault="001A3940">
      <w:pPr>
        <w:numPr>
          <w:ilvl w:val="0"/>
          <w:numId w:val="12"/>
        </w:numPr>
      </w:pPr>
      <w:r>
        <w:t>“Academic literature UK repair of buildings and infrastructure circular economy”</w:t>
      </w:r>
    </w:p>
    <w:p w14:paraId="000000A6" w14:textId="02BB6C56" w:rsidR="00D24D63" w:rsidRDefault="001A3940">
      <w:pPr>
        <w:spacing w:before="240" w:after="240"/>
      </w:pPr>
      <w:r>
        <w:t xml:space="preserve">All sources identified through AI were manually reviewed directly to confirm relevance, accuracy and credibility. Information from the included sources were manually entered into the evidence framework. This ensured that each intervention was read and coded consistently against the agreed definitions. Where access to specific industry report repositories or databases was available, these were reviewed manually to comply with data permissions and to ensure a complete evidence base. Only UK-based interventions were included. </w:t>
      </w:r>
      <w:r w:rsidR="009C67B8">
        <w:t>All evidence from the literature was captured in the evidence framework, and not as individual references in this report.</w:t>
      </w:r>
    </w:p>
    <w:p w14:paraId="000000A7" w14:textId="77777777" w:rsidR="00D24D63" w:rsidRDefault="001A3940">
      <w:pPr>
        <w:rPr>
          <w:b/>
          <w:bCs/>
        </w:rPr>
      </w:pPr>
      <w:r>
        <w:rPr>
          <w:b/>
          <w:bCs/>
        </w:rPr>
        <w:t xml:space="preserve">2.3 Framework development </w:t>
      </w:r>
    </w:p>
    <w:p w14:paraId="000000A8" w14:textId="77777777" w:rsidR="00D24D63" w:rsidRDefault="001A3940">
      <w:r>
        <w:t>Framework developed to collate and analyse information including:</w:t>
      </w:r>
    </w:p>
    <w:p w14:paraId="000000A9" w14:textId="77777777" w:rsidR="00D24D63" w:rsidRDefault="001A3940">
      <w:pPr>
        <w:numPr>
          <w:ilvl w:val="0"/>
          <w:numId w:val="14"/>
        </w:numPr>
      </w:pPr>
      <w:r>
        <w:t>The R(s) addressed.</w:t>
      </w:r>
    </w:p>
    <w:p w14:paraId="000000AA" w14:textId="77777777" w:rsidR="00D24D63" w:rsidRDefault="001A3940">
      <w:pPr>
        <w:numPr>
          <w:ilvl w:val="0"/>
          <w:numId w:val="14"/>
        </w:numPr>
      </w:pPr>
      <w:r>
        <w:t>The type of intervention.</w:t>
      </w:r>
    </w:p>
    <w:p w14:paraId="000000AB" w14:textId="77777777" w:rsidR="00D24D63" w:rsidRDefault="001A3940">
      <w:pPr>
        <w:numPr>
          <w:ilvl w:val="0"/>
          <w:numId w:val="14"/>
        </w:numPr>
      </w:pPr>
      <w:r>
        <w:t>Geographic scale of implementation (local, national, international).</w:t>
      </w:r>
    </w:p>
    <w:p w14:paraId="000000AC" w14:textId="77777777" w:rsidR="00D24D63" w:rsidRDefault="001A3940">
      <w:pPr>
        <w:numPr>
          <w:ilvl w:val="0"/>
          <w:numId w:val="14"/>
        </w:numPr>
      </w:pPr>
      <w:r>
        <w:t>Progression scale of intervention (fundamental research, pilot, full market).</w:t>
      </w:r>
    </w:p>
    <w:p w14:paraId="000000AD" w14:textId="77777777" w:rsidR="00D24D63" w:rsidRDefault="001A3940">
      <w:pPr>
        <w:numPr>
          <w:ilvl w:val="0"/>
          <w:numId w:val="14"/>
        </w:numPr>
      </w:pPr>
      <w:r>
        <w:t>Source of funding (public, private, mixed).</w:t>
      </w:r>
    </w:p>
    <w:p w14:paraId="000000AE" w14:textId="77777777" w:rsidR="00D24D63" w:rsidRDefault="001A3940">
      <w:pPr>
        <w:numPr>
          <w:ilvl w:val="0"/>
          <w:numId w:val="14"/>
        </w:numPr>
      </w:pPr>
      <w:r>
        <w:t>Any evidence of performance or outcomes.</w:t>
      </w:r>
    </w:p>
    <w:p w14:paraId="000000AF" w14:textId="77777777" w:rsidR="00D24D63" w:rsidRDefault="001A3940">
      <w:pPr>
        <w:numPr>
          <w:ilvl w:val="0"/>
          <w:numId w:val="14"/>
        </w:numPr>
      </w:pPr>
      <w:r>
        <w:t>Scalability.</w:t>
      </w:r>
    </w:p>
    <w:p w14:paraId="000000B0" w14:textId="77777777" w:rsidR="00D24D63" w:rsidRDefault="001A3940">
      <w:pPr>
        <w:numPr>
          <w:ilvl w:val="0"/>
          <w:numId w:val="14"/>
        </w:numPr>
      </w:pPr>
      <w:r>
        <w:t>Sector transferability.</w:t>
      </w:r>
    </w:p>
    <w:p w14:paraId="000000B1" w14:textId="77777777" w:rsidR="00D24D63" w:rsidRDefault="001A3940">
      <w:pPr>
        <w:numPr>
          <w:ilvl w:val="0"/>
          <w:numId w:val="14"/>
        </w:numPr>
      </w:pPr>
      <w:r>
        <w:t>Strength of evidence</w:t>
      </w:r>
    </w:p>
    <w:p w14:paraId="000000B2" w14:textId="77777777" w:rsidR="00D24D63" w:rsidRDefault="001A3940">
      <w:pPr>
        <w:spacing w:before="240"/>
      </w:pPr>
      <w:r>
        <w:t>Transferability was assessed using three simple checks:</w:t>
      </w:r>
    </w:p>
    <w:p w14:paraId="000000B3" w14:textId="77777777" w:rsidR="00D24D63" w:rsidRDefault="001A3940">
      <w:pPr>
        <w:numPr>
          <w:ilvl w:val="0"/>
          <w:numId w:val="24"/>
        </w:numPr>
        <w:ind w:left="708"/>
      </w:pPr>
      <w:r>
        <w:t>Generality of the principle: whether the intervention relies on a broadly applicable principle rather than a sector-specific process.</w:t>
      </w:r>
    </w:p>
    <w:p w14:paraId="000000B4" w14:textId="77777777" w:rsidR="00D24D63" w:rsidRDefault="001A3940">
      <w:pPr>
        <w:numPr>
          <w:ilvl w:val="0"/>
          <w:numId w:val="24"/>
        </w:numPr>
        <w:ind w:left="708"/>
      </w:pPr>
      <w:r>
        <w:lastRenderedPageBreak/>
        <w:t>Cross-sector use: whether similar examples exist in other sectors in the literature or reports.</w:t>
      </w:r>
    </w:p>
    <w:p w14:paraId="000000B5" w14:textId="77777777" w:rsidR="00D24D63" w:rsidRDefault="001A3940">
      <w:pPr>
        <w:numPr>
          <w:ilvl w:val="0"/>
          <w:numId w:val="24"/>
        </w:numPr>
        <w:ind w:left="708"/>
      </w:pPr>
      <w:r>
        <w:t>Barriers to transfer: whether technical, regulatory, or behavioural barriers limit transfer potential.</w:t>
      </w:r>
    </w:p>
    <w:p w14:paraId="000000B6" w14:textId="77777777" w:rsidR="00D24D63" w:rsidRDefault="001A3940">
      <w:pPr>
        <w:spacing w:after="240"/>
      </w:pPr>
      <w:r>
        <w:t>High transferability indicates generic principles with evidence of use in multiple sectors; medium indicates plausible potential without current examples; low denotes clearly sector-specific interventions; and unclear is used where insufficient information is available.</w:t>
      </w:r>
    </w:p>
    <w:p w14:paraId="000000B7" w14:textId="77777777" w:rsidR="00D24D63" w:rsidRDefault="001A3940">
      <w:pPr>
        <w:spacing w:before="240"/>
      </w:pPr>
      <w:r>
        <w:t>Scalability to the national level was coded as:</w:t>
      </w:r>
    </w:p>
    <w:p w14:paraId="000000B8" w14:textId="77777777" w:rsidR="00D24D63" w:rsidRDefault="001A3940">
      <w:pPr>
        <w:numPr>
          <w:ilvl w:val="0"/>
          <w:numId w:val="4"/>
        </w:numPr>
      </w:pPr>
      <w:r>
        <w:t>National - already applied at full market or policy scale.</w:t>
      </w:r>
    </w:p>
    <w:p w14:paraId="000000B9" w14:textId="77777777" w:rsidR="00D24D63" w:rsidRDefault="001A3940">
      <w:pPr>
        <w:numPr>
          <w:ilvl w:val="0"/>
          <w:numId w:val="4"/>
        </w:numPr>
      </w:pPr>
      <w:r>
        <w:t>Scalable - currently smaller in scope but with clear potential to expand.</w:t>
      </w:r>
    </w:p>
    <w:p w14:paraId="000000BA" w14:textId="77777777" w:rsidR="00D24D63" w:rsidRDefault="001A3940">
      <w:pPr>
        <w:numPr>
          <w:ilvl w:val="0"/>
          <w:numId w:val="4"/>
        </w:numPr>
      </w:pPr>
      <w:r>
        <w:t>Limited - constrained by significant technical or regulatory barriers.</w:t>
      </w:r>
    </w:p>
    <w:p w14:paraId="000000BB" w14:textId="77777777" w:rsidR="00D24D63" w:rsidRDefault="001A3940">
      <w:pPr>
        <w:numPr>
          <w:ilvl w:val="0"/>
          <w:numId w:val="4"/>
        </w:numPr>
        <w:spacing w:after="240"/>
      </w:pPr>
      <w:r>
        <w:t>Unclear - insufficient evidence to assess.</w:t>
      </w:r>
    </w:p>
    <w:p w14:paraId="000000BC" w14:textId="59E39593" w:rsidR="00D24D63" w:rsidRDefault="001A3940">
      <w:pPr>
        <w:spacing w:after="240"/>
      </w:pPr>
      <w:r>
        <w:t>Some sources misclassified the type of circular activity, with interventions labelled under an “R” that did not match the definitions used in this study. For example, some described as repurpose were more accurately remanufacture. These were classified in the evidence framework according to the definitions in Annex 2 to ensure consistency.</w:t>
      </w:r>
    </w:p>
    <w:p w14:paraId="000000BD" w14:textId="77777777" w:rsidR="00D24D63" w:rsidRDefault="001A3940">
      <w:pPr>
        <w:spacing w:after="240"/>
        <w:rPr>
          <w:sz w:val="20"/>
          <w:szCs w:val="20"/>
        </w:rPr>
      </w:pPr>
      <w:r>
        <w:t>To ensure transparency and indicate confidence in each intervention’s evidence base, a “strength of evidence” rating was assigned (Table 1). This rating draws on the methods of the UNEP International Resource Panel (2021) and the Global Plastics Policy Centre (March et al., 2022), adapted for this mapping exercise. The score reflects the size of the body of evidence, the type of evidence (peer-reviewed literature ranking highest, followed by grey and industry sources), and the robustness of methodologies employed. These criteria are then combined to reach an overall assessment of the strength of evidence used to assess each policy, as presented in the framework.</w:t>
      </w:r>
    </w:p>
    <w:p w14:paraId="000000BE" w14:textId="77777777" w:rsidR="00D24D63" w:rsidRDefault="001A3940">
      <w:pPr>
        <w:spacing w:line="250" w:lineRule="auto"/>
        <w:rPr>
          <w:i/>
          <w:iCs/>
          <w:sz w:val="20"/>
          <w:szCs w:val="20"/>
        </w:rPr>
      </w:pPr>
      <w:r>
        <w:rPr>
          <w:b/>
          <w:bCs/>
          <w:i/>
          <w:iCs/>
          <w:sz w:val="20"/>
          <w:szCs w:val="20"/>
        </w:rPr>
        <w:t xml:space="preserve">Table 1 </w:t>
      </w:r>
      <w:r>
        <w:rPr>
          <w:i/>
          <w:iCs/>
          <w:sz w:val="20"/>
          <w:szCs w:val="20"/>
        </w:rPr>
        <w:t>Classification system of Strength of Evidence used to evaluate interventions. Adapted from March et al., 2022.</w:t>
      </w:r>
    </w:p>
    <w:tbl>
      <w:tblPr>
        <w:tblStyle w:val="7"/>
        <w:tblW w:w="9030" w:type="dxa"/>
        <w:tblBorders>
          <w:top w:val="nil"/>
          <w:left w:val="nil"/>
          <w:bottom w:val="nil"/>
          <w:right w:val="nil"/>
          <w:insideH w:val="nil"/>
          <w:insideV w:val="nil"/>
        </w:tblBorders>
        <w:tblLayout w:type="fixed"/>
        <w:tblLook w:val="0600" w:firstRow="0" w:lastRow="0" w:firstColumn="0" w:lastColumn="0" w:noHBand="1" w:noVBand="1"/>
      </w:tblPr>
      <w:tblGrid>
        <w:gridCol w:w="1515"/>
        <w:gridCol w:w="3615"/>
        <w:gridCol w:w="3900"/>
      </w:tblGrid>
      <w:tr w:rsidR="00D24D63" w14:paraId="27BC798D" w14:textId="77777777">
        <w:trPr>
          <w:trHeight w:val="570"/>
        </w:trPr>
        <w:tc>
          <w:tcPr>
            <w:tcW w:w="1515" w:type="dxa"/>
            <w:tcBorders>
              <w:top w:val="single" w:sz="6" w:space="0" w:color="EFEFEF"/>
              <w:left w:val="single" w:sz="6" w:space="0" w:color="EFEFEF"/>
              <w:bottom w:val="single" w:sz="6" w:space="0" w:color="EFEFEF"/>
              <w:right w:val="single" w:sz="6" w:space="0" w:color="EFEFEF"/>
            </w:tcBorders>
            <w:shd w:val="clear" w:color="auto" w:fill="D0E0E3"/>
            <w:tcMar>
              <w:top w:w="100" w:type="dxa"/>
              <w:left w:w="100" w:type="dxa"/>
              <w:bottom w:w="100" w:type="dxa"/>
              <w:right w:w="100" w:type="dxa"/>
            </w:tcMar>
          </w:tcPr>
          <w:p w14:paraId="000000BF" w14:textId="77777777" w:rsidR="00D24D63" w:rsidRDefault="001A3940">
            <w:pPr>
              <w:spacing w:line="276" w:lineRule="auto"/>
              <w:jc w:val="left"/>
              <w:rPr>
                <w:b/>
                <w:bCs/>
                <w:sz w:val="16"/>
                <w:szCs w:val="16"/>
              </w:rPr>
            </w:pPr>
            <w:r>
              <w:rPr>
                <w:b/>
                <w:bCs/>
                <w:sz w:val="16"/>
                <w:szCs w:val="16"/>
              </w:rPr>
              <w:t>Strength of evidence</w:t>
            </w:r>
          </w:p>
        </w:tc>
        <w:tc>
          <w:tcPr>
            <w:tcW w:w="3615" w:type="dxa"/>
            <w:tcBorders>
              <w:top w:val="single" w:sz="6" w:space="0" w:color="EFEFEF"/>
              <w:left w:val="nil"/>
              <w:bottom w:val="single" w:sz="6" w:space="0" w:color="EFEFEF"/>
              <w:right w:val="single" w:sz="6" w:space="0" w:color="EFEFEF"/>
            </w:tcBorders>
            <w:shd w:val="clear" w:color="auto" w:fill="D0E0E3"/>
            <w:tcMar>
              <w:top w:w="100" w:type="dxa"/>
              <w:left w:w="100" w:type="dxa"/>
              <w:bottom w:w="100" w:type="dxa"/>
              <w:right w:w="100" w:type="dxa"/>
            </w:tcMar>
          </w:tcPr>
          <w:p w14:paraId="000000C0" w14:textId="77777777" w:rsidR="00D24D63" w:rsidRDefault="001A3940">
            <w:pPr>
              <w:spacing w:line="276" w:lineRule="auto"/>
              <w:rPr>
                <w:b/>
                <w:bCs/>
                <w:sz w:val="16"/>
                <w:szCs w:val="16"/>
              </w:rPr>
            </w:pPr>
            <w:r>
              <w:rPr>
                <w:b/>
                <w:bCs/>
                <w:sz w:val="16"/>
                <w:szCs w:val="16"/>
              </w:rPr>
              <w:t>Definition</w:t>
            </w:r>
          </w:p>
        </w:tc>
        <w:tc>
          <w:tcPr>
            <w:tcW w:w="3900" w:type="dxa"/>
            <w:tcBorders>
              <w:top w:val="single" w:sz="6" w:space="0" w:color="EFEFEF"/>
              <w:left w:val="nil"/>
              <w:bottom w:val="single" w:sz="6" w:space="0" w:color="EFEFEF"/>
              <w:right w:val="single" w:sz="6" w:space="0" w:color="EFEFEF"/>
            </w:tcBorders>
            <w:shd w:val="clear" w:color="auto" w:fill="D0E0E3"/>
            <w:tcMar>
              <w:top w:w="100" w:type="dxa"/>
              <w:left w:w="100" w:type="dxa"/>
              <w:bottom w:w="100" w:type="dxa"/>
              <w:right w:w="100" w:type="dxa"/>
            </w:tcMar>
          </w:tcPr>
          <w:p w14:paraId="000000C1" w14:textId="77777777" w:rsidR="00D24D63" w:rsidRDefault="001A3940">
            <w:pPr>
              <w:spacing w:line="276" w:lineRule="auto"/>
              <w:rPr>
                <w:b/>
                <w:bCs/>
                <w:sz w:val="16"/>
                <w:szCs w:val="16"/>
              </w:rPr>
            </w:pPr>
            <w:r>
              <w:rPr>
                <w:b/>
                <w:bCs/>
                <w:sz w:val="16"/>
                <w:szCs w:val="16"/>
              </w:rPr>
              <w:t>What it means</w:t>
            </w:r>
          </w:p>
        </w:tc>
      </w:tr>
      <w:tr w:rsidR="00D24D63" w14:paraId="048FE8CC" w14:textId="77777777">
        <w:trPr>
          <w:trHeight w:val="750"/>
        </w:trPr>
        <w:tc>
          <w:tcPr>
            <w:tcW w:w="1515" w:type="dxa"/>
            <w:tcBorders>
              <w:top w:val="nil"/>
              <w:left w:val="single" w:sz="6" w:space="0" w:color="EFEFEF"/>
              <w:bottom w:val="single" w:sz="6" w:space="0" w:color="EFEFEF"/>
              <w:right w:val="single" w:sz="6" w:space="0" w:color="EFEFEF"/>
            </w:tcBorders>
            <w:tcMar>
              <w:top w:w="100" w:type="dxa"/>
              <w:left w:w="100" w:type="dxa"/>
              <w:bottom w:w="100" w:type="dxa"/>
              <w:right w:w="100" w:type="dxa"/>
            </w:tcMar>
          </w:tcPr>
          <w:p w14:paraId="000000C2" w14:textId="77777777" w:rsidR="00D24D63" w:rsidRDefault="001A3940">
            <w:pPr>
              <w:spacing w:line="276" w:lineRule="auto"/>
              <w:rPr>
                <w:sz w:val="16"/>
                <w:szCs w:val="16"/>
              </w:rPr>
            </w:pPr>
            <w:r>
              <w:rPr>
                <w:sz w:val="16"/>
                <w:szCs w:val="16"/>
              </w:rPr>
              <w:t>Very strong</w:t>
            </w:r>
          </w:p>
        </w:tc>
        <w:tc>
          <w:tcPr>
            <w:tcW w:w="3615" w:type="dxa"/>
            <w:tcBorders>
              <w:top w:val="nil"/>
              <w:left w:val="nil"/>
              <w:bottom w:val="single" w:sz="6" w:space="0" w:color="EFEFEF"/>
              <w:right w:val="single" w:sz="6" w:space="0" w:color="EFEFEF"/>
            </w:tcBorders>
            <w:tcMar>
              <w:top w:w="100" w:type="dxa"/>
              <w:left w:w="100" w:type="dxa"/>
              <w:bottom w:w="100" w:type="dxa"/>
              <w:right w:w="100" w:type="dxa"/>
            </w:tcMar>
          </w:tcPr>
          <w:p w14:paraId="000000C3" w14:textId="77777777" w:rsidR="00D24D63" w:rsidRDefault="001A3940">
            <w:pPr>
              <w:spacing w:line="276" w:lineRule="auto"/>
              <w:jc w:val="left"/>
              <w:rPr>
                <w:sz w:val="16"/>
                <w:szCs w:val="16"/>
                <w:highlight w:val="white"/>
              </w:rPr>
            </w:pPr>
            <w:r>
              <w:rPr>
                <w:sz w:val="16"/>
                <w:szCs w:val="16"/>
                <w:highlight w:val="white"/>
              </w:rPr>
              <w:t>High quality body of evidence, large in size, consistent and contextually relevant.</w:t>
            </w:r>
          </w:p>
        </w:tc>
        <w:tc>
          <w:tcPr>
            <w:tcW w:w="3900" w:type="dxa"/>
            <w:tcBorders>
              <w:top w:val="nil"/>
              <w:left w:val="nil"/>
              <w:bottom w:val="single" w:sz="6" w:space="0" w:color="EFEFEF"/>
              <w:right w:val="single" w:sz="6" w:space="0" w:color="EFEFEF"/>
            </w:tcBorders>
            <w:tcMar>
              <w:top w:w="100" w:type="dxa"/>
              <w:left w:w="100" w:type="dxa"/>
              <w:bottom w:w="100" w:type="dxa"/>
              <w:right w:w="100" w:type="dxa"/>
            </w:tcMar>
          </w:tcPr>
          <w:p w14:paraId="000000C4" w14:textId="77777777" w:rsidR="00D24D63" w:rsidRDefault="001A3940">
            <w:pPr>
              <w:spacing w:line="276" w:lineRule="auto"/>
              <w:jc w:val="left"/>
              <w:rPr>
                <w:sz w:val="16"/>
                <w:szCs w:val="16"/>
              </w:rPr>
            </w:pPr>
            <w:r>
              <w:rPr>
                <w:sz w:val="16"/>
                <w:szCs w:val="16"/>
              </w:rPr>
              <w:t>Strong confidence that the intervention’s effects are well documented and credible.</w:t>
            </w:r>
          </w:p>
        </w:tc>
      </w:tr>
      <w:tr w:rsidR="00D24D63" w14:paraId="1FE29408" w14:textId="77777777">
        <w:trPr>
          <w:trHeight w:val="750"/>
        </w:trPr>
        <w:tc>
          <w:tcPr>
            <w:tcW w:w="1515" w:type="dxa"/>
            <w:tcBorders>
              <w:top w:val="nil"/>
              <w:left w:val="single" w:sz="6" w:space="0" w:color="EFEFEF"/>
              <w:bottom w:val="single" w:sz="6" w:space="0" w:color="EFEFEF"/>
              <w:right w:val="single" w:sz="6" w:space="0" w:color="EFEFEF"/>
            </w:tcBorders>
            <w:tcMar>
              <w:top w:w="100" w:type="dxa"/>
              <w:left w:w="100" w:type="dxa"/>
              <w:bottom w:w="100" w:type="dxa"/>
              <w:right w:w="100" w:type="dxa"/>
            </w:tcMar>
          </w:tcPr>
          <w:p w14:paraId="000000C5" w14:textId="77777777" w:rsidR="00D24D63" w:rsidRDefault="001A3940">
            <w:pPr>
              <w:spacing w:line="276" w:lineRule="auto"/>
              <w:rPr>
                <w:sz w:val="16"/>
                <w:szCs w:val="16"/>
              </w:rPr>
            </w:pPr>
            <w:r>
              <w:rPr>
                <w:sz w:val="16"/>
                <w:szCs w:val="16"/>
              </w:rPr>
              <w:t>Strong</w:t>
            </w:r>
          </w:p>
        </w:tc>
        <w:tc>
          <w:tcPr>
            <w:tcW w:w="3615" w:type="dxa"/>
            <w:tcBorders>
              <w:top w:val="nil"/>
              <w:left w:val="nil"/>
              <w:bottom w:val="single" w:sz="6" w:space="0" w:color="EFEFEF"/>
              <w:right w:val="single" w:sz="6" w:space="0" w:color="EFEFEF"/>
            </w:tcBorders>
            <w:tcMar>
              <w:top w:w="100" w:type="dxa"/>
              <w:left w:w="100" w:type="dxa"/>
              <w:bottom w:w="100" w:type="dxa"/>
              <w:right w:w="100" w:type="dxa"/>
            </w:tcMar>
          </w:tcPr>
          <w:p w14:paraId="000000C6" w14:textId="77777777" w:rsidR="00D24D63" w:rsidRDefault="001A3940">
            <w:pPr>
              <w:spacing w:line="276" w:lineRule="auto"/>
              <w:jc w:val="left"/>
              <w:rPr>
                <w:sz w:val="16"/>
                <w:szCs w:val="16"/>
                <w:highlight w:val="white"/>
              </w:rPr>
            </w:pPr>
            <w:r>
              <w:rPr>
                <w:sz w:val="16"/>
                <w:szCs w:val="16"/>
                <w:highlight w:val="white"/>
              </w:rPr>
              <w:t>High quality body of evidence, medium to large in size, moderately to highly consistent and contextually relevant.</w:t>
            </w:r>
          </w:p>
        </w:tc>
        <w:tc>
          <w:tcPr>
            <w:tcW w:w="3900" w:type="dxa"/>
            <w:tcBorders>
              <w:top w:val="nil"/>
              <w:left w:val="nil"/>
              <w:bottom w:val="single" w:sz="6" w:space="0" w:color="EFEFEF"/>
              <w:right w:val="single" w:sz="6" w:space="0" w:color="EFEFEF"/>
            </w:tcBorders>
            <w:tcMar>
              <w:top w:w="100" w:type="dxa"/>
              <w:left w:w="100" w:type="dxa"/>
              <w:bottom w:w="100" w:type="dxa"/>
              <w:right w:w="100" w:type="dxa"/>
            </w:tcMar>
          </w:tcPr>
          <w:p w14:paraId="000000C7" w14:textId="77777777" w:rsidR="00D24D63" w:rsidRDefault="001A3940">
            <w:pPr>
              <w:spacing w:line="276" w:lineRule="auto"/>
              <w:jc w:val="left"/>
              <w:rPr>
                <w:sz w:val="16"/>
                <w:szCs w:val="16"/>
              </w:rPr>
            </w:pPr>
            <w:r>
              <w:rPr>
                <w:sz w:val="16"/>
                <w:szCs w:val="16"/>
              </w:rPr>
              <w:t>Evidence is reliable and findings can reasonably be generalised to similar contexts.</w:t>
            </w:r>
          </w:p>
        </w:tc>
      </w:tr>
      <w:tr w:rsidR="00D24D63" w14:paraId="5255BA0B" w14:textId="77777777">
        <w:trPr>
          <w:trHeight w:val="930"/>
        </w:trPr>
        <w:tc>
          <w:tcPr>
            <w:tcW w:w="1515" w:type="dxa"/>
            <w:tcBorders>
              <w:top w:val="nil"/>
              <w:left w:val="single" w:sz="6" w:space="0" w:color="EFEFEF"/>
              <w:bottom w:val="single" w:sz="6" w:space="0" w:color="EFEFEF"/>
              <w:right w:val="single" w:sz="6" w:space="0" w:color="EFEFEF"/>
            </w:tcBorders>
            <w:tcMar>
              <w:top w:w="100" w:type="dxa"/>
              <w:left w:w="100" w:type="dxa"/>
              <w:bottom w:w="100" w:type="dxa"/>
              <w:right w:w="100" w:type="dxa"/>
            </w:tcMar>
          </w:tcPr>
          <w:p w14:paraId="000000C8" w14:textId="77777777" w:rsidR="00D24D63" w:rsidRDefault="001A3940">
            <w:pPr>
              <w:spacing w:line="276" w:lineRule="auto"/>
              <w:rPr>
                <w:sz w:val="16"/>
                <w:szCs w:val="16"/>
              </w:rPr>
            </w:pPr>
            <w:r>
              <w:rPr>
                <w:sz w:val="16"/>
                <w:szCs w:val="16"/>
              </w:rPr>
              <w:t>Moderate</w:t>
            </w:r>
          </w:p>
        </w:tc>
        <w:tc>
          <w:tcPr>
            <w:tcW w:w="3615" w:type="dxa"/>
            <w:tcBorders>
              <w:top w:val="nil"/>
              <w:left w:val="nil"/>
              <w:bottom w:val="single" w:sz="6" w:space="0" w:color="EFEFEF"/>
              <w:right w:val="single" w:sz="6" w:space="0" w:color="EFEFEF"/>
            </w:tcBorders>
            <w:tcMar>
              <w:top w:w="100" w:type="dxa"/>
              <w:left w:w="100" w:type="dxa"/>
              <w:bottom w:w="100" w:type="dxa"/>
              <w:right w:w="100" w:type="dxa"/>
            </w:tcMar>
          </w:tcPr>
          <w:p w14:paraId="000000C9" w14:textId="77777777" w:rsidR="00D24D63" w:rsidRDefault="001A3940">
            <w:pPr>
              <w:spacing w:line="276" w:lineRule="auto"/>
              <w:jc w:val="left"/>
              <w:rPr>
                <w:sz w:val="16"/>
                <w:szCs w:val="16"/>
                <w:highlight w:val="white"/>
              </w:rPr>
            </w:pPr>
            <w:r>
              <w:rPr>
                <w:sz w:val="16"/>
                <w:szCs w:val="16"/>
                <w:highlight w:val="white"/>
              </w:rPr>
              <w:t>Moderate quality studies on this policy, medium sized evidence body, moderate level of consistency. Studies may or may not be contextually relevant.</w:t>
            </w:r>
          </w:p>
        </w:tc>
        <w:tc>
          <w:tcPr>
            <w:tcW w:w="3900" w:type="dxa"/>
            <w:tcBorders>
              <w:top w:val="nil"/>
              <w:left w:val="nil"/>
              <w:bottom w:val="single" w:sz="6" w:space="0" w:color="EFEFEF"/>
              <w:right w:val="single" w:sz="6" w:space="0" w:color="EFEFEF"/>
            </w:tcBorders>
            <w:tcMar>
              <w:top w:w="100" w:type="dxa"/>
              <w:left w:w="100" w:type="dxa"/>
              <w:bottom w:w="100" w:type="dxa"/>
              <w:right w:w="100" w:type="dxa"/>
            </w:tcMar>
          </w:tcPr>
          <w:p w14:paraId="000000CA" w14:textId="77777777" w:rsidR="00D24D63" w:rsidRDefault="001A3940">
            <w:pPr>
              <w:spacing w:line="276" w:lineRule="auto"/>
              <w:jc w:val="left"/>
              <w:rPr>
                <w:sz w:val="16"/>
                <w:szCs w:val="16"/>
              </w:rPr>
            </w:pPr>
            <w:r>
              <w:rPr>
                <w:sz w:val="16"/>
                <w:szCs w:val="16"/>
              </w:rPr>
              <w:t>Findings appear credible but may depend on context; moderate confidence.</w:t>
            </w:r>
          </w:p>
        </w:tc>
      </w:tr>
      <w:tr w:rsidR="00D24D63" w14:paraId="3DCF083F" w14:textId="77777777">
        <w:trPr>
          <w:trHeight w:val="1110"/>
        </w:trPr>
        <w:tc>
          <w:tcPr>
            <w:tcW w:w="1515" w:type="dxa"/>
            <w:tcBorders>
              <w:top w:val="nil"/>
              <w:left w:val="single" w:sz="6" w:space="0" w:color="EFEFEF"/>
              <w:bottom w:val="single" w:sz="6" w:space="0" w:color="EFEFEF"/>
              <w:right w:val="single" w:sz="6" w:space="0" w:color="EFEFEF"/>
            </w:tcBorders>
            <w:tcMar>
              <w:top w:w="100" w:type="dxa"/>
              <w:left w:w="100" w:type="dxa"/>
              <w:bottom w:w="100" w:type="dxa"/>
              <w:right w:w="100" w:type="dxa"/>
            </w:tcMar>
          </w:tcPr>
          <w:p w14:paraId="000000CB" w14:textId="77777777" w:rsidR="00D24D63" w:rsidRDefault="001A3940">
            <w:pPr>
              <w:spacing w:line="276" w:lineRule="auto"/>
              <w:rPr>
                <w:sz w:val="16"/>
                <w:szCs w:val="16"/>
              </w:rPr>
            </w:pPr>
            <w:r>
              <w:rPr>
                <w:sz w:val="16"/>
                <w:szCs w:val="16"/>
              </w:rPr>
              <w:t>Limited</w:t>
            </w:r>
          </w:p>
        </w:tc>
        <w:tc>
          <w:tcPr>
            <w:tcW w:w="3615" w:type="dxa"/>
            <w:tcBorders>
              <w:top w:val="nil"/>
              <w:left w:val="nil"/>
              <w:bottom w:val="single" w:sz="6" w:space="0" w:color="EFEFEF"/>
              <w:right w:val="single" w:sz="6" w:space="0" w:color="EFEFEF"/>
            </w:tcBorders>
            <w:tcMar>
              <w:top w:w="100" w:type="dxa"/>
              <w:left w:w="100" w:type="dxa"/>
              <w:bottom w:w="100" w:type="dxa"/>
              <w:right w:w="100" w:type="dxa"/>
            </w:tcMar>
          </w:tcPr>
          <w:p w14:paraId="000000CC" w14:textId="77777777" w:rsidR="00D24D63" w:rsidRDefault="001A3940">
            <w:pPr>
              <w:spacing w:line="276" w:lineRule="auto"/>
              <w:jc w:val="left"/>
              <w:rPr>
                <w:sz w:val="16"/>
                <w:szCs w:val="16"/>
                <w:highlight w:val="white"/>
              </w:rPr>
            </w:pPr>
            <w:r>
              <w:rPr>
                <w:sz w:val="16"/>
                <w:szCs w:val="16"/>
                <w:highlight w:val="white"/>
              </w:rPr>
              <w:t>Moderate - to- low quality studies, medium - to- small sized evidence body, low levels of consistency, studies may or may not be contextually relevant.</w:t>
            </w:r>
          </w:p>
        </w:tc>
        <w:tc>
          <w:tcPr>
            <w:tcW w:w="3900" w:type="dxa"/>
            <w:tcBorders>
              <w:top w:val="nil"/>
              <w:left w:val="nil"/>
              <w:bottom w:val="single" w:sz="6" w:space="0" w:color="EFEFEF"/>
              <w:right w:val="single" w:sz="6" w:space="0" w:color="EFEFEF"/>
            </w:tcBorders>
            <w:tcMar>
              <w:top w:w="100" w:type="dxa"/>
              <w:left w:w="100" w:type="dxa"/>
              <w:bottom w:w="100" w:type="dxa"/>
              <w:right w:w="100" w:type="dxa"/>
            </w:tcMar>
          </w:tcPr>
          <w:p w14:paraId="000000CD" w14:textId="77777777" w:rsidR="00D24D63" w:rsidRDefault="001A3940">
            <w:pPr>
              <w:spacing w:line="276" w:lineRule="auto"/>
              <w:jc w:val="left"/>
              <w:rPr>
                <w:sz w:val="16"/>
                <w:szCs w:val="16"/>
              </w:rPr>
            </w:pPr>
            <w:r>
              <w:rPr>
                <w:sz w:val="16"/>
                <w:szCs w:val="16"/>
              </w:rPr>
              <w:t>Findings are indicative but uncertain; further evidence required.</w:t>
            </w:r>
          </w:p>
        </w:tc>
      </w:tr>
      <w:tr w:rsidR="00D24D63" w14:paraId="4A7C20F8" w14:textId="77777777">
        <w:trPr>
          <w:trHeight w:val="750"/>
        </w:trPr>
        <w:tc>
          <w:tcPr>
            <w:tcW w:w="1515" w:type="dxa"/>
            <w:tcBorders>
              <w:top w:val="nil"/>
              <w:left w:val="single" w:sz="6" w:space="0" w:color="EFEFEF"/>
              <w:bottom w:val="single" w:sz="6" w:space="0" w:color="EFEFEF"/>
              <w:right w:val="single" w:sz="6" w:space="0" w:color="EFEFEF"/>
            </w:tcBorders>
            <w:tcMar>
              <w:top w:w="100" w:type="dxa"/>
              <w:left w:w="100" w:type="dxa"/>
              <w:bottom w:w="100" w:type="dxa"/>
              <w:right w:w="100" w:type="dxa"/>
            </w:tcMar>
          </w:tcPr>
          <w:p w14:paraId="000000CE" w14:textId="77777777" w:rsidR="00D24D63" w:rsidRDefault="001A3940">
            <w:pPr>
              <w:spacing w:line="276" w:lineRule="auto"/>
              <w:rPr>
                <w:sz w:val="16"/>
                <w:szCs w:val="16"/>
              </w:rPr>
            </w:pPr>
            <w:r>
              <w:rPr>
                <w:sz w:val="16"/>
                <w:szCs w:val="16"/>
              </w:rPr>
              <w:lastRenderedPageBreak/>
              <w:t>No evidence</w:t>
            </w:r>
          </w:p>
        </w:tc>
        <w:tc>
          <w:tcPr>
            <w:tcW w:w="3615" w:type="dxa"/>
            <w:tcBorders>
              <w:top w:val="nil"/>
              <w:left w:val="nil"/>
              <w:bottom w:val="single" w:sz="6" w:space="0" w:color="EFEFEF"/>
              <w:right w:val="single" w:sz="6" w:space="0" w:color="EFEFEF"/>
            </w:tcBorders>
            <w:tcMar>
              <w:top w:w="100" w:type="dxa"/>
              <w:left w:w="100" w:type="dxa"/>
              <w:bottom w:w="100" w:type="dxa"/>
              <w:right w:w="100" w:type="dxa"/>
            </w:tcMar>
          </w:tcPr>
          <w:p w14:paraId="000000CF" w14:textId="77777777" w:rsidR="00D24D63" w:rsidRDefault="001A3940">
            <w:pPr>
              <w:spacing w:line="276" w:lineRule="auto"/>
              <w:jc w:val="left"/>
              <w:rPr>
                <w:sz w:val="16"/>
                <w:szCs w:val="16"/>
              </w:rPr>
            </w:pPr>
            <w:r>
              <w:rPr>
                <w:sz w:val="16"/>
                <w:szCs w:val="16"/>
              </w:rPr>
              <w:t>No/too few studies exist that can be used to infer the outcomes of the proposed intervention.</w:t>
            </w:r>
          </w:p>
        </w:tc>
        <w:tc>
          <w:tcPr>
            <w:tcW w:w="3900" w:type="dxa"/>
            <w:tcBorders>
              <w:top w:val="nil"/>
              <w:left w:val="nil"/>
              <w:bottom w:val="single" w:sz="6" w:space="0" w:color="EFEFEF"/>
              <w:right w:val="single" w:sz="6" w:space="0" w:color="EFEFEF"/>
            </w:tcBorders>
            <w:tcMar>
              <w:top w:w="100" w:type="dxa"/>
              <w:left w:w="100" w:type="dxa"/>
              <w:bottom w:w="100" w:type="dxa"/>
              <w:right w:w="100" w:type="dxa"/>
            </w:tcMar>
          </w:tcPr>
          <w:p w14:paraId="000000D0" w14:textId="77777777" w:rsidR="00D24D63" w:rsidRDefault="001A3940">
            <w:pPr>
              <w:spacing w:line="276" w:lineRule="auto"/>
              <w:jc w:val="left"/>
              <w:rPr>
                <w:sz w:val="16"/>
                <w:szCs w:val="16"/>
              </w:rPr>
            </w:pPr>
            <w:r>
              <w:rPr>
                <w:sz w:val="16"/>
                <w:szCs w:val="16"/>
              </w:rPr>
              <w:t>Insufficient information to assess the intervention’s outcomes or relevance</w:t>
            </w:r>
          </w:p>
        </w:tc>
      </w:tr>
    </w:tbl>
    <w:p w14:paraId="000000D1" w14:textId="77777777" w:rsidR="00D24D63" w:rsidRDefault="00D24D63"/>
    <w:p w14:paraId="000000D2" w14:textId="7EF02935" w:rsidR="00D24D63" w:rsidRDefault="001A3940">
      <w:r>
        <w:t xml:space="preserve">Due to this being a rapid scoping review, for each sector-R combination, two hours of searching was conducted to ensure that each combination was equally focused on. Any gaps remaining in the framework therefore are not attributable to lack of searching, but a lack of evidence in that sector and “R”. </w:t>
      </w:r>
    </w:p>
    <w:p w14:paraId="000000D3" w14:textId="77777777" w:rsidR="00D24D63" w:rsidRDefault="00D24D63"/>
    <w:p w14:paraId="000000D4" w14:textId="77777777" w:rsidR="00D24D63" w:rsidRDefault="001A3940">
      <w:pPr>
        <w:rPr>
          <w:b/>
          <w:bCs/>
        </w:rPr>
      </w:pPr>
      <w:r>
        <w:rPr>
          <w:b/>
          <w:bCs/>
        </w:rPr>
        <w:t>2.4 Analysis</w:t>
      </w:r>
    </w:p>
    <w:p w14:paraId="000000D5" w14:textId="77777777" w:rsidR="00D24D63" w:rsidRDefault="001A3940">
      <w:r>
        <w:t>Data were analysed to highlight patterns in the distribution of interventions across sectors and Rs, variation in evidence strength, and areas where examples were absent or weakly evidenced. Transferability and scalability codes were reviewed to identify interventions with wider potential. All analysis was conducted using Microsoft Excel. Descriptive analysis was used to examine the proportion of interventions at different stages of maturity, distinguishing between research, pilot, demonstrator, and full-market initiatives. Technology Readiness Levels (TRLs) were used where available to provide greater granularity on the stage of development.</w:t>
      </w:r>
    </w:p>
    <w:p w14:paraId="000000D6" w14:textId="77777777" w:rsidR="00D24D63" w:rsidRDefault="00D24D63"/>
    <w:p w14:paraId="000000D7" w14:textId="77777777" w:rsidR="00D24D63" w:rsidRDefault="001A3940">
      <w:pPr>
        <w:rPr>
          <w:highlight w:val="cyan"/>
        </w:rPr>
      </w:pPr>
      <w:r>
        <w:t>A gap analysis was conducted to identify sector–R combinations where no interventions were found, and further literature review was used to interpret potential reasons for these absences, including regulatory constraints, market immaturity, or definitional ambiguity.</w:t>
      </w:r>
    </w:p>
    <w:p w14:paraId="000000D8" w14:textId="77777777" w:rsidR="00D24D63" w:rsidRDefault="00D24D63">
      <w:pPr>
        <w:rPr>
          <w:highlight w:val="cyan"/>
        </w:rPr>
      </w:pPr>
    </w:p>
    <w:p w14:paraId="000000D9" w14:textId="77777777" w:rsidR="00D24D63" w:rsidRDefault="001A3940">
      <w:pPr>
        <w:pStyle w:val="Heading1"/>
      </w:pPr>
      <w:bookmarkStart w:id="10" w:name="_heading=h.xm42nevbx1yc" w:colFirst="0" w:colLast="0"/>
      <w:bookmarkEnd w:id="10"/>
      <w:r>
        <w:t>3. Findings</w:t>
      </w:r>
    </w:p>
    <w:p w14:paraId="6AA8A432" w14:textId="77777777" w:rsidR="009C67B8" w:rsidRDefault="009C67B8" w:rsidP="009C67B8"/>
    <w:p w14:paraId="63F72069" w14:textId="05849C7E" w:rsidR="009C67B8" w:rsidRPr="009C67B8" w:rsidRDefault="009C67B8" w:rsidP="009C67B8">
      <w:r w:rsidRPr="009C67B8">
        <w:t>This section presents the main findings from the evidence mapping, organised by sector and cross-cutting themes. It summarises the types of circular economy interventions identified across the six priority sectors, highlighting observed patterns, innovation stages, and evidence gaps. All underlying sources for the 102 interventions can be found in the accompanying Evidence Framework, which lists the full reference set and coding for each sector–R combination.</w:t>
      </w:r>
    </w:p>
    <w:p w14:paraId="000000DA" w14:textId="77777777" w:rsidR="00D24D63" w:rsidRDefault="00D24D63"/>
    <w:p w14:paraId="000000DB" w14:textId="77777777" w:rsidR="00D24D63" w:rsidRDefault="001A3940">
      <w:pPr>
        <w:pStyle w:val="Heading2"/>
      </w:pPr>
      <w:bookmarkStart w:id="11" w:name="_heading=h.20whykslzsoy" w:colFirst="0" w:colLast="0"/>
      <w:bookmarkEnd w:id="11"/>
      <w:r>
        <w:t>3.1 Sector findings</w:t>
      </w:r>
    </w:p>
    <w:p w14:paraId="000000DC" w14:textId="77777777" w:rsidR="00D24D63" w:rsidRDefault="001A3940">
      <w:r>
        <w:t>A total of 102 interventions were identified across the five priority sectors (Table 2). Most examples were concentrated in the textiles (27) and chemicals &amp; plastics (24) sectors, reflecting the relative maturity and policy attention these areas have received in circular economy initiatives. Agri-food followed with 17 examples, while transport (13) and the built environment (9) had fewer, indicating either more limited documentation or a smaller number of higher-order circular interventions.</w:t>
      </w:r>
    </w:p>
    <w:p w14:paraId="000000DD" w14:textId="77777777" w:rsidR="00D24D63" w:rsidRDefault="00D24D63">
      <w:pPr>
        <w:rPr>
          <w:i/>
          <w:iCs/>
        </w:rPr>
      </w:pPr>
    </w:p>
    <w:p w14:paraId="000000DE" w14:textId="339A0E6E" w:rsidR="00D24D63" w:rsidRDefault="001A3940">
      <w:r>
        <w:rPr>
          <w:b/>
          <w:bCs/>
          <w:i/>
          <w:iCs/>
        </w:rPr>
        <w:t xml:space="preserve">Table 2. </w:t>
      </w:r>
      <w:r>
        <w:rPr>
          <w:i/>
          <w:iCs/>
        </w:rPr>
        <w:t>Total number of interventions identified for each Sector/R combination</w:t>
      </w:r>
    </w:p>
    <w:p w14:paraId="000000DF" w14:textId="77777777" w:rsidR="00D24D63" w:rsidRDefault="001A3940">
      <w:r>
        <w:rPr>
          <w:noProof/>
        </w:rPr>
        <w:lastRenderedPageBreak/>
        <w:drawing>
          <wp:inline distT="114300" distB="114300" distL="114300" distR="114300" wp14:anchorId="62BE8380" wp14:editId="41C7B2E5">
            <wp:extent cx="5731200" cy="1295400"/>
            <wp:effectExtent l="12700" t="12700" r="12700" b="127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1295400"/>
                    </a:xfrm>
                    <a:prstGeom prst="rect">
                      <a:avLst/>
                    </a:prstGeom>
                    <a:ln w="12700">
                      <a:solidFill>
                        <a:srgbClr val="000000"/>
                      </a:solidFill>
                      <a:prstDash val="solid"/>
                    </a:ln>
                  </pic:spPr>
                </pic:pic>
              </a:graphicData>
            </a:graphic>
          </wp:inline>
        </w:drawing>
      </w:r>
    </w:p>
    <w:p w14:paraId="000000E0" w14:textId="77777777" w:rsidR="00D24D63" w:rsidRDefault="00D24D63"/>
    <w:p w14:paraId="000000E1" w14:textId="77777777" w:rsidR="00D24D63" w:rsidRDefault="001A3940">
      <w:r>
        <w:t>Across the Rs, Reuse was the most frequently observed strategy (24 interventions), followed by Reduce (18) and Repair (14). Interventions under Refurbish, Remanufacture, and Repurpose were less common, suggesting a narrower set of examples or definitional inconsistencies in how these terms are used in practice. Only a small number of interventions were classified as Refuse, which is expected given the limited scope for such approaches outside product or material substitution contexts.</w:t>
      </w:r>
    </w:p>
    <w:p w14:paraId="000000E2" w14:textId="6F589C52" w:rsidR="00D24D63" w:rsidRDefault="001A3940">
      <w:r>
        <w:t>Patterns in the distribution of Rs varied by sector. For instance, chemicals &amp; plastics and textiles showed activity across nearly all Rs, while sectors such as transport and the built environment had fewer examples above recycling, with most interventions falling under reuse, repair, or refurbish. This distribution likely reflects differing sectoral dynamics such as material complexity, safety regulations, and market readiness for circular models, which are discussed in more detail for each sector.</w:t>
      </w:r>
    </w:p>
    <w:p w14:paraId="000000E3" w14:textId="77777777" w:rsidR="00D24D63" w:rsidRDefault="001A3940">
      <w:pPr>
        <w:pStyle w:val="Heading3"/>
        <w:spacing w:before="200"/>
      </w:pPr>
      <w:bookmarkStart w:id="12" w:name="_heading=h.17tk9lt9g8jt" w:colFirst="0" w:colLast="0"/>
      <w:bookmarkEnd w:id="12"/>
      <w:r>
        <w:t>3.1.1 Agri-Food</w:t>
      </w:r>
    </w:p>
    <w:p w14:paraId="000000E4" w14:textId="524AC1DF" w:rsidR="00D24D63" w:rsidRDefault="001A3940">
      <w:r>
        <w:t xml:space="preserve">The overall pattern of the agri-food sector reflects a sector largely focused on tackling food waste and packaging, rather than upstream redesign of agricultural systems or inputs. Overall, agri-food exhibits a mature but uneven distribution of circular interventions, as demonstrated by the number and type of interventions in the framework. Full-market adoption is strongest where commercial incentives align with waste reduction, but early-stage and novel interventions, particularly in repurposing, represent a key opportunity for future policy or funding support. Seventeen interventions were identified in this sector, spanning Reduce, Reuse, and Repurpose, with no examples of Refuse, Refurbish, Remanufacture, or Recycle above the boundary point. </w:t>
      </w:r>
    </w:p>
    <w:p w14:paraId="000000E5" w14:textId="77777777" w:rsidR="00D24D63" w:rsidRDefault="00D24D63"/>
    <w:p w14:paraId="000000E6" w14:textId="77777777" w:rsidR="00D24D63" w:rsidRDefault="001A3940">
      <w:pPr>
        <w:rPr>
          <w:b/>
          <w:bCs/>
        </w:rPr>
      </w:pPr>
      <w:r>
        <w:rPr>
          <w:b/>
          <w:bCs/>
        </w:rPr>
        <w:t>Reduce</w:t>
      </w:r>
    </w:p>
    <w:p w14:paraId="000000E7" w14:textId="7373C656" w:rsidR="00D24D63" w:rsidRDefault="001A3940">
      <w:r>
        <w:t>Most interventions fall under Reduce, with eight examples centred on minimising food waste through product and business model innovation. These include supermarket initiatives removing best-before dates, digital apps facilitating redistribution (e.g. Olio), and packaging optimisation such as Tesco’s 4R strategy (Tesco, n.d.). The majority operate at full-market scale, reflecting strong commercial alignment and consumer visibility. However, their sector transferability is low, as the interventions depend on food-specific supply chains and perishable goods dynamics.</w:t>
      </w:r>
    </w:p>
    <w:p w14:paraId="000000E8" w14:textId="77777777" w:rsidR="00D24D63" w:rsidRDefault="00D24D63"/>
    <w:p w14:paraId="000000E9" w14:textId="77777777" w:rsidR="00D24D63" w:rsidRDefault="001A3940">
      <w:pPr>
        <w:rPr>
          <w:b/>
          <w:bCs/>
        </w:rPr>
      </w:pPr>
      <w:r>
        <w:rPr>
          <w:b/>
          <w:bCs/>
        </w:rPr>
        <w:t>Reuse</w:t>
      </w:r>
    </w:p>
    <w:p w14:paraId="000000EA" w14:textId="77777777" w:rsidR="00D24D63" w:rsidRDefault="001A3940">
      <w:r>
        <w:t xml:space="preserve">Three Reuse interventions were identified, focusing on reusable or refillable packaging systems for groceries, both in-store and online. These were distributed across the research-to-market spectrum, including retailer trials and comparative Life Cycle Assessments (LCAs) of reuse systems. While evidence strength was generally moderate to strong, these models </w:t>
      </w:r>
      <w:r>
        <w:lastRenderedPageBreak/>
        <w:t>face logistical barriers, particularly for wet or perishable goods. The interventions show high transferability potential to other packaging-intensive sectors such as household goods or cosmetics.</w:t>
      </w:r>
    </w:p>
    <w:p w14:paraId="000000EB" w14:textId="77777777" w:rsidR="00D24D63" w:rsidRDefault="00D24D63"/>
    <w:p w14:paraId="000000EC" w14:textId="77777777" w:rsidR="00D24D63" w:rsidRDefault="001A3940">
      <w:pPr>
        <w:rPr>
          <w:b/>
          <w:bCs/>
        </w:rPr>
      </w:pPr>
      <w:r>
        <w:rPr>
          <w:b/>
          <w:bCs/>
        </w:rPr>
        <w:t>Repurpose</w:t>
      </w:r>
    </w:p>
    <w:p w14:paraId="000000ED" w14:textId="5CAE8FBB" w:rsidR="00D24D63" w:rsidRDefault="001A3940">
      <w:r>
        <w:t>Six examples of Repurpose were identified, primarily involving the transformation of food waste into new products such as animal feed, beverages (e.g. Toast Ale’s bread-to-beer model), or biobased materials. These ranged from small-scale trials to full-market operations. While several demonstrated clear environmental benefits and community co-benefits, their scalability is constrained by collection infrastructure and feedstock variability. Transferability was low, as most rely on food-specific waste streams (Envar Composting Ltd., n.d.).</w:t>
      </w:r>
    </w:p>
    <w:p w14:paraId="000000EE" w14:textId="77777777" w:rsidR="00D24D63" w:rsidRDefault="00D24D63"/>
    <w:p w14:paraId="000000EF" w14:textId="377E4BB4" w:rsidR="00D24D63" w:rsidRDefault="001A3940">
      <w:pPr>
        <w:pStyle w:val="Heading3"/>
      </w:pPr>
      <w:bookmarkStart w:id="13" w:name="_heading=h.olq99d4w6vbm" w:colFirst="0" w:colLast="0"/>
      <w:bookmarkEnd w:id="13"/>
      <w:r>
        <w:t xml:space="preserve">3.1.2 Built Environment </w:t>
      </w:r>
    </w:p>
    <w:p w14:paraId="000000F1" w14:textId="1D8AFE84" w:rsidR="00D24D63" w:rsidRDefault="001A3940">
      <w:r>
        <w:t xml:space="preserve">The sector, as demonstrated by the number and type of interventions in the framework is characterised by a strong focus on material and resource efficiency, reflecting efforts to minimise construction waste and extend the lifespan of existing assets. Nine interventions were identified for the built environment sector, with activity distributed mainly across Reuse and Refurbish, and fewer examples of Reduce, Repair, or Remanufacture.. Six interventions identified were government-funded. The UK government has set broader policy agendas around net zero, resource productivity, and the circular construction roadmap, to which these interventions align. </w:t>
      </w:r>
    </w:p>
    <w:p w14:paraId="000000F2" w14:textId="0A3E42BB" w:rsidR="00D24D63" w:rsidRDefault="001A3940">
      <w:r>
        <w:t>Evidence strength in this sector was generally moderate, though skewed towards pilot and small-scale demonstrators rather than market-ready examples. As demonstrated within the evidence framework, a limited number of interventions had reached full market implementation, most of which focused on refurbishment of existing buildings or the reuse of structural materials within conventional projects.</w:t>
      </w:r>
    </w:p>
    <w:p w14:paraId="000000F3" w14:textId="77777777" w:rsidR="00D24D63" w:rsidRDefault="00D24D63"/>
    <w:p w14:paraId="000000F4" w14:textId="77777777" w:rsidR="00D24D63" w:rsidRDefault="001A3940">
      <w:pPr>
        <w:rPr>
          <w:b/>
          <w:bCs/>
        </w:rPr>
      </w:pPr>
      <w:r>
        <w:rPr>
          <w:b/>
          <w:bCs/>
        </w:rPr>
        <w:t>Reduce</w:t>
      </w:r>
    </w:p>
    <w:p w14:paraId="000000F5" w14:textId="13D58C2D" w:rsidR="00D24D63" w:rsidRDefault="001A3940">
      <w:pPr>
        <w:pBdr>
          <w:top w:val="nil"/>
          <w:left w:val="nil"/>
          <w:bottom w:val="nil"/>
          <w:right w:val="nil"/>
          <w:between w:val="nil"/>
        </w:pBdr>
        <w:spacing w:after="160"/>
      </w:pPr>
      <w:r>
        <w:t>Reduce was represented by a single, early-stage intervention aimed at developing sustainable building practices to lower reliance on virgin materials. While the potential scalability of such approaches is high, evidence of impact was limited due to the project being a five-year university research project..</w:t>
      </w:r>
    </w:p>
    <w:p w14:paraId="000000F6" w14:textId="77777777" w:rsidR="00D24D63" w:rsidRDefault="001A3940">
      <w:pPr>
        <w:rPr>
          <w:b/>
          <w:bCs/>
        </w:rPr>
      </w:pPr>
      <w:r>
        <w:rPr>
          <w:b/>
          <w:bCs/>
        </w:rPr>
        <w:t>Reuse</w:t>
      </w:r>
    </w:p>
    <w:p w14:paraId="000000F7" w14:textId="77777777" w:rsidR="00D24D63" w:rsidRDefault="001A3940">
      <w:pPr>
        <w:pBdr>
          <w:top w:val="nil"/>
          <w:left w:val="nil"/>
          <w:bottom w:val="nil"/>
          <w:right w:val="nil"/>
          <w:between w:val="nil"/>
        </w:pBdr>
        <w:spacing w:after="160"/>
      </w:pPr>
      <w:r>
        <w:t>Reuse accounted for three interventions, primarily focused on recovering and reusing structural materials from end-of-life buildings. These included the reclamation of bricks, steel, and concrete for use in new builds designed for future deconstruction. The interventions demonstrated strong technical feasibility and moderate scalability, though all remained at pilot stage. Transferability across sectors was mixed, with material recovery systems being highly context-specific to construction processes. Evidence strength was moderate, and most examples were funded through public R&amp;D programmes rather than market-led initiatives.</w:t>
      </w:r>
    </w:p>
    <w:p w14:paraId="000000F8" w14:textId="77777777" w:rsidR="00D24D63" w:rsidRDefault="001A3940">
      <w:pPr>
        <w:rPr>
          <w:b/>
          <w:bCs/>
        </w:rPr>
      </w:pPr>
      <w:r>
        <w:rPr>
          <w:b/>
          <w:bCs/>
        </w:rPr>
        <w:t>Repair</w:t>
      </w:r>
    </w:p>
    <w:p w14:paraId="000000F9" w14:textId="77777777" w:rsidR="00D24D63" w:rsidRDefault="001A3940">
      <w:pPr>
        <w:pBdr>
          <w:top w:val="nil"/>
          <w:left w:val="nil"/>
          <w:bottom w:val="nil"/>
          <w:right w:val="nil"/>
          <w:between w:val="nil"/>
        </w:pBdr>
        <w:spacing w:after="160"/>
      </w:pPr>
      <w:r>
        <w:t xml:space="preserve">Repair was represented by one example focused on robotics technology for maintenance and repair of buildings and infrastructure. This intervention, still in fundamental research, </w:t>
      </w:r>
      <w:r>
        <w:lastRenderedPageBreak/>
        <w:t>demonstrated potential to scale nationally and showed high sector transferability, particularly to transport and utilities infrastructure.</w:t>
      </w:r>
    </w:p>
    <w:p w14:paraId="000000FA" w14:textId="77777777" w:rsidR="00D24D63" w:rsidRDefault="001A3940">
      <w:pPr>
        <w:rPr>
          <w:b/>
          <w:bCs/>
        </w:rPr>
      </w:pPr>
      <w:r>
        <w:rPr>
          <w:b/>
          <w:bCs/>
        </w:rPr>
        <w:t>Refurbish</w:t>
      </w:r>
    </w:p>
    <w:p w14:paraId="000000FB" w14:textId="77E22A4D" w:rsidR="00D24D63" w:rsidRDefault="001A3940">
      <w:pPr>
        <w:pBdr>
          <w:top w:val="nil"/>
          <w:left w:val="nil"/>
          <w:bottom w:val="nil"/>
          <w:right w:val="nil"/>
          <w:between w:val="nil"/>
        </w:pBdr>
        <w:spacing w:after="160"/>
      </w:pPr>
      <w:r>
        <w:t>Refurbish also accounted for three interventions, encompassing diverse approaches such as digital material passporting, retrofitting existing building structures, and the use of refurbished materials in modular construction. These interventions collectively illustrate growing alignment between refurbishment and decarbonisation objectives, as refurbishing assets can extend lifespans and reduce embodied emissions. Two of the three were assessed as scalable to national level, and all showed clear policy relevance. Transferability varied where refurbishment practices were largely construction-specific, though the digital tracking systems developed could have wider cross-sector application</w:t>
      </w:r>
      <w:r w:rsidR="003051D7">
        <w:t xml:space="preserve">, </w:t>
      </w:r>
      <w:r w:rsidR="003051D7" w:rsidRPr="003051D7">
        <w:t>as their principles of traceability and material transparency</w:t>
      </w:r>
      <w:r w:rsidR="003051D7">
        <w:t>, as well as core infrastructure for tracking</w:t>
      </w:r>
      <w:r w:rsidR="003051D7" w:rsidRPr="003051D7">
        <w:t xml:space="preserve"> are relevant to other sectors such as textiles, transport, and EEE</w:t>
      </w:r>
      <w:r>
        <w:t>.</w:t>
      </w:r>
    </w:p>
    <w:p w14:paraId="000000FC" w14:textId="77777777" w:rsidR="00D24D63" w:rsidRDefault="001A3940">
      <w:pPr>
        <w:rPr>
          <w:b/>
          <w:bCs/>
        </w:rPr>
      </w:pPr>
      <w:r>
        <w:rPr>
          <w:b/>
          <w:bCs/>
        </w:rPr>
        <w:t>Remanufacture</w:t>
      </w:r>
    </w:p>
    <w:p w14:paraId="000000FD" w14:textId="77777777" w:rsidR="00D24D63" w:rsidRDefault="001A3940">
      <w:pPr>
        <w:pBdr>
          <w:top w:val="nil"/>
          <w:left w:val="nil"/>
          <w:bottom w:val="nil"/>
          <w:right w:val="nil"/>
          <w:between w:val="nil"/>
        </w:pBdr>
        <w:spacing w:after="160"/>
      </w:pPr>
      <w:r>
        <w:t>Remanufacture was limited to a single early-stage research initiative focused on re-engineering reclaimed materials into modular components. Although small in scale, it demonstrated strong potential for national scaling and high sector transferability where regulatory and certification barriers can be addressed.</w:t>
      </w:r>
    </w:p>
    <w:p w14:paraId="000000FE" w14:textId="77777777" w:rsidR="00D24D63" w:rsidRDefault="001A3940">
      <w:pPr>
        <w:pStyle w:val="Heading3"/>
      </w:pPr>
      <w:bookmarkStart w:id="14" w:name="_heading=h.b14d1q1tb3bi" w:colFirst="0" w:colLast="0"/>
      <w:bookmarkEnd w:id="14"/>
      <w:r>
        <w:t>3.1.3 Chemicals &amp; Plastics</w:t>
      </w:r>
    </w:p>
    <w:p w14:paraId="00000100" w14:textId="2A2AAB04" w:rsidR="00D24D63" w:rsidRDefault="001A3940">
      <w:pPr>
        <w:rPr>
          <w:b/>
          <w:bCs/>
        </w:rPr>
      </w:pPr>
      <w:r>
        <w:t xml:space="preserve">The sector demonstrates a mature evidence base overall, with a mix of public and private funding and the majority of interventions already at full-market scale. Those still at research or pilot stages primarily involve novel recycling or chemical conversion technologies. Twenty-four interventions were identified in the chemicals and plastics sector.. Most focus on plastic packaging, reflecting both commercial activity and ongoing policy attention in this area. </w:t>
      </w:r>
    </w:p>
    <w:p w14:paraId="00000101" w14:textId="77777777" w:rsidR="00D24D63" w:rsidRDefault="001A3940">
      <w:pPr>
        <w:rPr>
          <w:b/>
          <w:bCs/>
        </w:rPr>
      </w:pPr>
      <w:r>
        <w:rPr>
          <w:b/>
          <w:bCs/>
        </w:rPr>
        <w:t>Refuse</w:t>
      </w:r>
    </w:p>
    <w:p w14:paraId="00000102" w14:textId="77777777" w:rsidR="00D24D63" w:rsidRDefault="001A3940">
      <w:r>
        <w:t>Six interventions were identified under Refuse, making it one of the most active Rs in this sector. These centred on the removal of single-use plastics from products and supply chains, and the introduction of biobased or compostable alternatives. Several also aimed to influence consumer behaviour by promoting refillable options. Most were at full-market scale with strong consumer uptake. While they demonstrate clear waste reduction outcomes, their transferability is generally low as they are heavily packaging-dependent and rely on brand-specific logistics systems.</w:t>
      </w:r>
    </w:p>
    <w:p w14:paraId="00000103" w14:textId="77777777" w:rsidR="00D24D63" w:rsidRDefault="00D24D63"/>
    <w:p w14:paraId="00000104" w14:textId="77777777" w:rsidR="00D24D63" w:rsidRDefault="001A3940">
      <w:pPr>
        <w:rPr>
          <w:b/>
          <w:bCs/>
        </w:rPr>
      </w:pPr>
      <w:r>
        <w:rPr>
          <w:b/>
          <w:bCs/>
        </w:rPr>
        <w:t>Reduce</w:t>
      </w:r>
    </w:p>
    <w:p w14:paraId="00000105" w14:textId="77777777" w:rsidR="00D24D63" w:rsidRDefault="001A3940">
      <w:pPr>
        <w:pBdr>
          <w:top w:val="nil"/>
          <w:left w:val="nil"/>
          <w:bottom w:val="nil"/>
          <w:right w:val="nil"/>
          <w:between w:val="nil"/>
        </w:pBdr>
        <w:spacing w:after="160"/>
      </w:pPr>
      <w:r>
        <w:t>Six interventions also fell under Reduce. The majority involved redesigning packaging to reduce plastic content or shift towards recyclable or lighter materials. A small subset targeted upstream efficiency, such as reducing virgin feedstock use in production. Nearly all examples were full-market, showing commercial feasibility and policy alignment with extended producer responsibility goals. However, their transferability is low, as most rely on sector-specific product formats and packaging supply chains.</w:t>
      </w:r>
    </w:p>
    <w:p w14:paraId="00000106" w14:textId="77777777" w:rsidR="00D24D63" w:rsidRDefault="001A3940">
      <w:pPr>
        <w:rPr>
          <w:b/>
          <w:bCs/>
        </w:rPr>
      </w:pPr>
      <w:r>
        <w:rPr>
          <w:b/>
          <w:bCs/>
        </w:rPr>
        <w:t>Reuse</w:t>
      </w:r>
    </w:p>
    <w:p w14:paraId="00000107" w14:textId="77777777" w:rsidR="00D24D63" w:rsidRDefault="001A3940">
      <w:pPr>
        <w:spacing w:after="200"/>
      </w:pPr>
      <w:r>
        <w:t xml:space="preserve">Six reuse-focused interventions were identified, covering refillable packaging, reusable container systems, and digital technologies for lifecycle tracking. Evidence strength was </w:t>
      </w:r>
      <w:r>
        <w:lastRenderedPageBreak/>
        <w:t>moderate to strong, and examples were evenly distributed between pilot and full-market stages. Most demonstrated national scalability, supported by emerging reuse networks and retailer engagement. Transferability was moderate, as reuse logistics and hygiene standards vary between sectors but principles are replicable across other consumer goods industries.</w:t>
      </w:r>
    </w:p>
    <w:p w14:paraId="00000108" w14:textId="77777777" w:rsidR="00D24D63" w:rsidRDefault="001A3940">
      <w:pPr>
        <w:rPr>
          <w:b/>
          <w:bCs/>
        </w:rPr>
      </w:pPr>
      <w:r>
        <w:rPr>
          <w:b/>
          <w:bCs/>
        </w:rPr>
        <w:t>Repurpose</w:t>
      </w:r>
    </w:p>
    <w:p w14:paraId="00000109" w14:textId="77777777" w:rsidR="00D24D63" w:rsidRDefault="001A3940">
      <w:pPr>
        <w:pBdr>
          <w:top w:val="nil"/>
          <w:left w:val="nil"/>
          <w:bottom w:val="nil"/>
          <w:right w:val="nil"/>
          <w:between w:val="nil"/>
        </w:pBdr>
        <w:spacing w:after="160"/>
      </w:pPr>
      <w:r>
        <w:t>Two interventions fell under Repurpose. Both explored the transformation of plastic waste into new products, such as fuels or small manufactured goods. These remain largely research-driven and pre-commercial, with limited sector penetration. Scalability was rated as medium to high, although dependent on regulatory acceptance and reliable waste feedstocks. Transferability was low, as the technologies are process-specific and often capital intensive.</w:t>
      </w:r>
    </w:p>
    <w:p w14:paraId="0000010A" w14:textId="77777777" w:rsidR="00D24D63" w:rsidRDefault="001A3940">
      <w:pPr>
        <w:rPr>
          <w:b/>
          <w:bCs/>
        </w:rPr>
      </w:pPr>
      <w:r>
        <w:rPr>
          <w:b/>
          <w:bCs/>
        </w:rPr>
        <w:t>Recycle</w:t>
      </w:r>
    </w:p>
    <w:p w14:paraId="0000010B" w14:textId="17CBE3D0" w:rsidR="00D24D63" w:rsidRDefault="001A3940">
      <w:pPr>
        <w:pBdr>
          <w:top w:val="nil"/>
          <w:left w:val="nil"/>
          <w:bottom w:val="nil"/>
          <w:right w:val="nil"/>
          <w:between w:val="nil"/>
        </w:pBdr>
        <w:spacing w:after="160"/>
      </w:pPr>
      <w:r>
        <w:t>Four interventions were identified under Recycle, focused on improving recycling technologies or infrastructure. These included developments in hydrothermal recycling and post-consumer film separation. Most were at demonstrator or early commercial scale and supported by public-private funding. They show high potential for scaling within the plastics industry but limited cross-sector relevance, as their focus is primarily technological rather than systemic.</w:t>
      </w:r>
    </w:p>
    <w:p w14:paraId="0000010C" w14:textId="77777777" w:rsidR="00D24D63" w:rsidRDefault="001A3940">
      <w:pPr>
        <w:pStyle w:val="Heading3"/>
      </w:pPr>
      <w:bookmarkStart w:id="15" w:name="_heading=h.gg9w02vm8875" w:colFirst="0" w:colLast="0"/>
      <w:bookmarkEnd w:id="15"/>
      <w:r>
        <w:t>3.1.4 EEE</w:t>
      </w:r>
    </w:p>
    <w:p w14:paraId="0000010D" w14:textId="4AE39324" w:rsidR="00D24D63" w:rsidRDefault="001A3940">
      <w:r>
        <w:t>Innovation in the EEE sector is fragmented but active, with no single circular strategy dominating. The evidence base combines market-ready business models with early-stage research, suggesting a divergent and exploratory innovation landscape rather than a coherent policy or funding trajectory. Twelve interventions were identified in the EEE sector, spanning a wide range of Rs and intervention types. Unlike other sectors, no single circular strategy dominates, reflecting a fragmented but active innovation landscape. Most interventions focus on personal or small household electronic devices, with relatively limited examples targeting larger industrial or infrastructure systems. A more holistic, system-oriented approach could help direct future interventions and strengthen links between product design, repair, and reuse infrastructure.</w:t>
      </w:r>
    </w:p>
    <w:p w14:paraId="0000010E" w14:textId="77777777" w:rsidR="00D24D63" w:rsidRDefault="00D24D63"/>
    <w:p w14:paraId="0000010F" w14:textId="77777777" w:rsidR="00D24D63" w:rsidRDefault="001A3940">
      <w:pPr>
        <w:rPr>
          <w:b/>
          <w:bCs/>
        </w:rPr>
      </w:pPr>
      <w:r>
        <w:rPr>
          <w:b/>
          <w:bCs/>
        </w:rPr>
        <w:t>Reduce</w:t>
      </w:r>
    </w:p>
    <w:p w14:paraId="00000110" w14:textId="77777777" w:rsidR="00D24D63" w:rsidRDefault="001A3940">
      <w:pPr>
        <w:pBdr>
          <w:top w:val="nil"/>
          <w:left w:val="nil"/>
          <w:bottom w:val="nil"/>
          <w:right w:val="nil"/>
          <w:between w:val="nil"/>
        </w:pBdr>
        <w:spacing w:after="160"/>
      </w:pPr>
      <w:r>
        <w:t>A single intervention was identified under Reduce. It focused on developing technologies and supply chain solutions to minimise e-waste and reduce dependency on critical raw materials. While the initiative showed potential scalability, it remains at the pilot stage with limited measurable outcomes. Evidence of transferability is unclear, as much depends on material composition and product design in specific sub-sectors.</w:t>
      </w:r>
    </w:p>
    <w:p w14:paraId="00000111" w14:textId="77777777" w:rsidR="00D24D63" w:rsidRDefault="001A3940">
      <w:pPr>
        <w:rPr>
          <w:b/>
          <w:bCs/>
        </w:rPr>
      </w:pPr>
      <w:r>
        <w:rPr>
          <w:b/>
          <w:bCs/>
        </w:rPr>
        <w:t>Reuse</w:t>
      </w:r>
    </w:p>
    <w:p w14:paraId="00000112" w14:textId="77777777" w:rsidR="00D24D63" w:rsidRDefault="001A3940">
      <w:pPr>
        <w:pBdr>
          <w:top w:val="nil"/>
          <w:left w:val="nil"/>
          <w:bottom w:val="nil"/>
          <w:right w:val="nil"/>
          <w:between w:val="nil"/>
        </w:pBdr>
        <w:spacing w:after="160"/>
      </w:pPr>
      <w:r>
        <w:t>Only one reuse intervention was identified, centred on a lending marketplace for electronic items, enabling short-term access instead of ownership. This full-market business model innovation demonstrates clear consumer uptake and commercial viability. It shows high sector transferability, as similar models could apply to other high-value or underused goods such as tools, sports equipment, or appliances.</w:t>
      </w:r>
    </w:p>
    <w:p w14:paraId="00000113" w14:textId="77777777" w:rsidR="00D24D63" w:rsidRDefault="001A3940">
      <w:pPr>
        <w:rPr>
          <w:b/>
          <w:bCs/>
        </w:rPr>
      </w:pPr>
      <w:r>
        <w:rPr>
          <w:b/>
          <w:bCs/>
        </w:rPr>
        <w:t>Repair</w:t>
      </w:r>
    </w:p>
    <w:p w14:paraId="00000114" w14:textId="77777777" w:rsidR="00D24D63" w:rsidRDefault="001A3940">
      <w:pPr>
        <w:pBdr>
          <w:top w:val="nil"/>
          <w:left w:val="nil"/>
          <w:bottom w:val="nil"/>
          <w:right w:val="nil"/>
          <w:between w:val="nil"/>
        </w:pBdr>
        <w:spacing w:after="160"/>
      </w:pPr>
      <w:r>
        <w:lastRenderedPageBreak/>
        <w:t>Repair was the most common R identified in this sector, with six examples across a range of intervention types. These include community repair initiatives, professional repair services for businesses and academia, and research projects examining consumer repair behaviours and right-to-repair legislation. Evidence strength was moderate to strong, and market readiness varied from early research to full commercial operation. Several interventions have already achieved national reach, particularly those offering repair infrastructure or training. Transferability ranged from high to unclear: technical repair services may not translate easily to consumer contexts, but the behavioural and policy insights have broad cross-sector relevance.</w:t>
      </w:r>
    </w:p>
    <w:p w14:paraId="00000115" w14:textId="77777777" w:rsidR="00D24D63" w:rsidRDefault="001A3940">
      <w:pPr>
        <w:rPr>
          <w:b/>
          <w:bCs/>
        </w:rPr>
      </w:pPr>
      <w:r>
        <w:rPr>
          <w:b/>
          <w:bCs/>
        </w:rPr>
        <w:t>Refurbish</w:t>
      </w:r>
    </w:p>
    <w:p w14:paraId="00000116" w14:textId="77777777" w:rsidR="00D24D63" w:rsidRDefault="001A3940">
      <w:pPr>
        <w:spacing w:after="200"/>
      </w:pPr>
      <w:r>
        <w:t>Three interventions were identified under Refurbish, all involving the refurbishment and resale of electrical goods that would otherwise have been recycled or discarded. These included large-scale corporate resale schemes and social enterprises refurbishing laptops and small devices. All were full-market interventions with national scalability and tangible environmental and economic benefits. Transferability varied from low to high, reflecting differences in supply chain maturity and quality assurance requirements.</w:t>
      </w:r>
    </w:p>
    <w:p w14:paraId="00000117" w14:textId="77777777" w:rsidR="00D24D63" w:rsidRDefault="001A3940">
      <w:pPr>
        <w:rPr>
          <w:b/>
          <w:bCs/>
        </w:rPr>
      </w:pPr>
      <w:r>
        <w:rPr>
          <w:b/>
          <w:bCs/>
        </w:rPr>
        <w:t>Recycle</w:t>
      </w:r>
    </w:p>
    <w:p w14:paraId="00000118" w14:textId="77777777" w:rsidR="00D24D63" w:rsidRDefault="001A3940">
      <w:pPr>
        <w:pBdr>
          <w:top w:val="nil"/>
          <w:left w:val="nil"/>
          <w:bottom w:val="nil"/>
          <w:right w:val="nil"/>
          <w:between w:val="nil"/>
        </w:pBdr>
        <w:spacing w:after="160"/>
      </w:pPr>
      <w:r>
        <w:t>One recycling-related intervention was identified at the boundary of this project’s scope, focusing on the recovery of valuable metals from smartphones. This remains at a fundamental research stage, with promising technical outcomes but uncertain scalability and low transferability outside of high-value electronics recycling.</w:t>
      </w:r>
    </w:p>
    <w:p w14:paraId="00000119" w14:textId="77777777" w:rsidR="00D24D63" w:rsidRDefault="001A3940">
      <w:pPr>
        <w:pStyle w:val="Heading3"/>
      </w:pPr>
      <w:bookmarkStart w:id="16" w:name="_heading=h.2dpzibxpyulm" w:colFirst="0" w:colLast="0"/>
      <w:bookmarkEnd w:id="16"/>
      <w:r>
        <w:t>3.1.5 Transport</w:t>
      </w:r>
    </w:p>
    <w:p w14:paraId="0000011A" w14:textId="7F6FB373" w:rsidR="00D24D63" w:rsidRDefault="001A3940">
      <w:r>
        <w:t>Circular economy activity in the transport sector is dominated by no single area, but is emerging, with notable growth in vehicle manufacturing and battery systems, with focuses primarily on the rail and motor industries.</w:t>
      </w:r>
      <w:r w:rsidR="00816D29">
        <w:t xml:space="preserve"> </w:t>
      </w:r>
      <w:r>
        <w:t>A recurring finding is that circular approaches for electric vehicle batteries remain at early readiness levels, representing a key area for future policy and funding focus. Thirteen interventions were identified in the transport sector, covering a broad range of sub-industries including automotive, rail, road, and cycling. Funding was a mix of government and private investment, with several high-value projects supported through UKRI. The overall evidence base reflects fragmented but emerging activity, with interventions ranging from community-level reuse and repair to advanced industrial remanufacturing.</w:t>
      </w:r>
    </w:p>
    <w:p w14:paraId="0000011B" w14:textId="77777777" w:rsidR="00D24D63" w:rsidRDefault="00D24D63"/>
    <w:p w14:paraId="0000011C" w14:textId="77777777" w:rsidR="00D24D63" w:rsidRDefault="001A3940">
      <w:pPr>
        <w:rPr>
          <w:b/>
          <w:bCs/>
        </w:rPr>
      </w:pPr>
      <w:r>
        <w:rPr>
          <w:b/>
          <w:bCs/>
        </w:rPr>
        <w:t>Reuse</w:t>
      </w:r>
    </w:p>
    <w:p w14:paraId="0000011D" w14:textId="77777777" w:rsidR="00D24D63" w:rsidRDefault="001A3940">
      <w:pPr>
        <w:pBdr>
          <w:top w:val="nil"/>
          <w:left w:val="nil"/>
          <w:bottom w:val="nil"/>
          <w:right w:val="nil"/>
          <w:between w:val="nil"/>
        </w:pBdr>
        <w:spacing w:after="160"/>
      </w:pPr>
      <w:r>
        <w:t>Three reuse interventions were identified, spanning the reuse of materials and components across rail, road, and automotive systems. These included the recovery and reuse of vehicle restraint beams, ballast reuse in rail, and automotive parts reuse. Two were already at full-market scale, demonstrating technical feasibility and positive cost savings, while one remained at pilot stage. All interventions were scalable, with national replication likely where regulatory frameworks support secondary material use. Transferability was low, as reuse methods are typically material- and context-specific.</w:t>
      </w:r>
    </w:p>
    <w:p w14:paraId="0000011E" w14:textId="77777777" w:rsidR="00D24D63" w:rsidRDefault="001A3940">
      <w:pPr>
        <w:rPr>
          <w:b/>
          <w:bCs/>
        </w:rPr>
      </w:pPr>
      <w:r>
        <w:rPr>
          <w:b/>
          <w:bCs/>
        </w:rPr>
        <w:t>Repair</w:t>
      </w:r>
    </w:p>
    <w:p w14:paraId="0000011F" w14:textId="381D2D2A" w:rsidR="00D24D63" w:rsidRDefault="001A3940">
      <w:r>
        <w:lastRenderedPageBreak/>
        <w:t>Only one repair-focused intervention was identified, centred on community bike repair and maintenance initiatives. This intervention, though small in scale, provides clear social and environmental value, supporting local circular practices and behaviour change. It was full market, scalable, and transferable at community level, but its technical and policy relevance is limited compared to higher-value transport subsectors.</w:t>
      </w:r>
    </w:p>
    <w:p w14:paraId="00000120" w14:textId="77777777" w:rsidR="00D24D63" w:rsidRDefault="00D24D63">
      <w:pPr>
        <w:pBdr>
          <w:top w:val="nil"/>
          <w:left w:val="nil"/>
          <w:bottom w:val="nil"/>
          <w:right w:val="nil"/>
          <w:between w:val="nil"/>
        </w:pBdr>
        <w:rPr>
          <w:b/>
          <w:bCs/>
          <w:color w:val="3D85C6"/>
          <w:sz w:val="26"/>
          <w:szCs w:val="26"/>
        </w:rPr>
      </w:pPr>
    </w:p>
    <w:p w14:paraId="00000121" w14:textId="77777777" w:rsidR="00D24D63" w:rsidRDefault="001A3940">
      <w:pPr>
        <w:rPr>
          <w:b/>
          <w:bCs/>
        </w:rPr>
      </w:pPr>
      <w:r>
        <w:rPr>
          <w:b/>
          <w:bCs/>
        </w:rPr>
        <w:t>Refurbish</w:t>
      </w:r>
    </w:p>
    <w:p w14:paraId="00000122" w14:textId="77777777" w:rsidR="00D24D63" w:rsidRDefault="001A3940">
      <w:pPr>
        <w:pBdr>
          <w:top w:val="nil"/>
          <w:left w:val="nil"/>
          <w:bottom w:val="nil"/>
          <w:right w:val="nil"/>
          <w:between w:val="nil"/>
        </w:pBdr>
        <w:spacing w:after="160"/>
      </w:pPr>
      <w:r>
        <w:t>Refurbishment accounted for four interventions, the most within this sector. Examples included the refurbishment of passenger trains, conversion of rolling stock for freight use, and the refurbishment of ambulances to extend service life. Most were at full-market or pilot scale and demonstrated clear environmental and cost benefits. Refurbishment within transport is well established, often driven by maintenance and safety requirements rather than explicit circular policy, yet it aligns strongly with resource efficiency goals. All were scalable, though sector transferability was low due to the specificity of vehicle standards and performance criteria.</w:t>
      </w:r>
    </w:p>
    <w:p w14:paraId="00000123" w14:textId="77777777" w:rsidR="00D24D63" w:rsidRDefault="001A3940">
      <w:pPr>
        <w:rPr>
          <w:b/>
          <w:bCs/>
        </w:rPr>
      </w:pPr>
      <w:r>
        <w:rPr>
          <w:b/>
          <w:bCs/>
        </w:rPr>
        <w:t>Remanufacture</w:t>
      </w:r>
    </w:p>
    <w:p w14:paraId="00000124" w14:textId="77777777" w:rsidR="00D24D63" w:rsidRDefault="001A3940">
      <w:pPr>
        <w:pBdr>
          <w:top w:val="nil"/>
          <w:left w:val="nil"/>
          <w:bottom w:val="nil"/>
          <w:right w:val="nil"/>
          <w:between w:val="nil"/>
        </w:pBdr>
        <w:spacing w:after="160"/>
      </w:pPr>
      <w:r>
        <w:t>Two interventions were identified under Remanufacture, both focusing on automotive components, particularly electric vehicle batteries and car parts. These were at applied and research stages, showing strong technical potential but limited deployment. Both were nationally scalable, and one was assessed as having high transferability given the relevance of component remanufacture principles to other machinery sectors. Overall, this area represents a critical but underdeveloped frontier for circularity in transport, with opportunities for expansion through targeted policy and industry collaboration.</w:t>
      </w:r>
    </w:p>
    <w:p w14:paraId="00000125" w14:textId="77777777" w:rsidR="00D24D63" w:rsidRDefault="001A3940">
      <w:pPr>
        <w:rPr>
          <w:b/>
          <w:bCs/>
        </w:rPr>
      </w:pPr>
      <w:r>
        <w:rPr>
          <w:b/>
          <w:bCs/>
        </w:rPr>
        <w:t>Repurpose</w:t>
      </w:r>
    </w:p>
    <w:p w14:paraId="00000126" w14:textId="77777777" w:rsidR="00D24D63" w:rsidRDefault="001A3940">
      <w:pPr>
        <w:pBdr>
          <w:top w:val="nil"/>
          <w:left w:val="nil"/>
          <w:bottom w:val="nil"/>
          <w:right w:val="nil"/>
          <w:between w:val="nil"/>
        </w:pBdr>
        <w:spacing w:after="160"/>
      </w:pPr>
      <w:r>
        <w:t>Two interventions fell under Repurpose, both involving the repurposing of rail equipment and industrial tools. These were at commercial and full-market stages, showing moderate scalability but limited transferability. They illustrate pragmatic extensions of asset life within existing systems, though such approaches remain opportunistic rather than strategically embedded.</w:t>
      </w:r>
    </w:p>
    <w:p w14:paraId="00000127" w14:textId="77777777" w:rsidR="00D24D63" w:rsidRDefault="001A3940">
      <w:pPr>
        <w:rPr>
          <w:b/>
          <w:bCs/>
        </w:rPr>
      </w:pPr>
      <w:r>
        <w:rPr>
          <w:b/>
          <w:bCs/>
        </w:rPr>
        <w:t>Recycle</w:t>
      </w:r>
    </w:p>
    <w:p w14:paraId="00000128" w14:textId="77777777" w:rsidR="00D24D63" w:rsidRDefault="001A3940">
      <w:pPr>
        <w:pBdr>
          <w:top w:val="nil"/>
          <w:left w:val="nil"/>
          <w:bottom w:val="nil"/>
          <w:right w:val="nil"/>
          <w:between w:val="nil"/>
        </w:pBdr>
        <w:spacing w:after="160"/>
      </w:pPr>
      <w:r>
        <w:t>Only one recycling-related intervention was identified, focusing on aluminium recycling within automotive manufacturing. This pilot-scale initiative demonstrated clear potential for emissions and cost reductions but had low sector transferability, being specific to high-volume metal production processes.</w:t>
      </w:r>
    </w:p>
    <w:p w14:paraId="00000129" w14:textId="77777777" w:rsidR="00D24D63" w:rsidRDefault="001A3940">
      <w:pPr>
        <w:pStyle w:val="Heading3"/>
      </w:pPr>
      <w:bookmarkStart w:id="17" w:name="_heading=h.lbwcx33ech9n" w:colFirst="0" w:colLast="0"/>
      <w:bookmarkEnd w:id="17"/>
      <w:r>
        <w:t>3.1.6 Textiles</w:t>
      </w:r>
    </w:p>
    <w:p w14:paraId="0000012A" w14:textId="66A225A2" w:rsidR="00D24D63" w:rsidRDefault="001A3940">
      <w:pPr>
        <w:pBdr>
          <w:top w:val="nil"/>
          <w:left w:val="nil"/>
          <w:bottom w:val="nil"/>
          <w:right w:val="nil"/>
          <w:between w:val="nil"/>
        </w:pBdr>
        <w:spacing w:after="160"/>
      </w:pPr>
      <w:r>
        <w:t xml:space="preserve">The textiles sector shows high circular activity but remains fragmented, with few initiatives addressing system-level change such as overproduction or supply chain transformation. Most interventions are consumer-facing, focusing on reuse, repair, and resale rather than upstream innovation in material production or fibre systems. Twenty-seven interventions were identified in the textiles sector, with 14 examples of government funded interventions and only three privately funded, making it one of the most active areas across the evidence base. Clothing dominates, with very few examples relating to other textile applications such as furniture or technical fabrics. A large proportion of interventions sit below full-market readiness, indicating </w:t>
      </w:r>
      <w:r>
        <w:lastRenderedPageBreak/>
        <w:t>high innovation activity but limited maturity. The evidence suggests that while the textiles sector is saturated with circular initiatives, they remain fragmented, and few address system-level change such as overproduction or supply chain transformation.</w:t>
      </w:r>
    </w:p>
    <w:p w14:paraId="0000012B" w14:textId="77777777" w:rsidR="00D24D63" w:rsidRDefault="001A3940">
      <w:pPr>
        <w:rPr>
          <w:b/>
          <w:bCs/>
        </w:rPr>
      </w:pPr>
      <w:r>
        <w:rPr>
          <w:b/>
          <w:bCs/>
        </w:rPr>
        <w:t>Refuse</w:t>
      </w:r>
    </w:p>
    <w:p w14:paraId="0000012C" w14:textId="2EA1BA16" w:rsidR="00D24D63" w:rsidRDefault="001A3940">
      <w:pPr>
        <w:pBdr>
          <w:top w:val="nil"/>
          <w:left w:val="nil"/>
          <w:bottom w:val="nil"/>
          <w:right w:val="nil"/>
          <w:between w:val="nil"/>
        </w:pBdr>
        <w:spacing w:after="160"/>
      </w:pPr>
      <w:r>
        <w:t>Only one intervention was identified under Refuse, a campaign promoting second-hand purchasing and discouraging fast-fashion consumption. This initiative, though small and research-oriented, demonstrated strong behavioural intent and potential for national scaling through policy or social marketing. Transferability was low, as it is highly sector-specific.</w:t>
      </w:r>
    </w:p>
    <w:p w14:paraId="0000012D" w14:textId="77777777" w:rsidR="00D24D63" w:rsidRDefault="001A3940">
      <w:pPr>
        <w:rPr>
          <w:b/>
          <w:bCs/>
        </w:rPr>
      </w:pPr>
      <w:r>
        <w:rPr>
          <w:b/>
          <w:bCs/>
        </w:rPr>
        <w:t>Reduce</w:t>
      </w:r>
    </w:p>
    <w:p w14:paraId="0000012E" w14:textId="77777777" w:rsidR="00D24D63" w:rsidRDefault="001A3940">
      <w:pPr>
        <w:pBdr>
          <w:top w:val="nil"/>
          <w:left w:val="nil"/>
          <w:bottom w:val="nil"/>
          <w:right w:val="nil"/>
          <w:between w:val="nil"/>
        </w:pBdr>
        <w:spacing w:after="160"/>
      </w:pPr>
      <w:r>
        <w:t>Two interventions were identified, both focused on consumer behaviour and design efficiency. One used AI to better predict consumer preferences and reduce waste in fashion design, while the other centred on peer-to-peer resale of clothing to reduce new production demand. These interventions were at pilot and full-market stages, both scalable, with mixed transferability reflecting their reliance on digital consumer platforms.</w:t>
      </w:r>
    </w:p>
    <w:p w14:paraId="0000012F" w14:textId="77777777" w:rsidR="00D24D63" w:rsidRDefault="001A3940">
      <w:pPr>
        <w:rPr>
          <w:b/>
          <w:bCs/>
        </w:rPr>
      </w:pPr>
      <w:r>
        <w:rPr>
          <w:b/>
          <w:bCs/>
        </w:rPr>
        <w:t>Reuse</w:t>
      </w:r>
    </w:p>
    <w:p w14:paraId="00000130" w14:textId="77777777" w:rsidR="00D24D63" w:rsidRDefault="001A3940">
      <w:pPr>
        <w:pBdr>
          <w:top w:val="nil"/>
          <w:left w:val="nil"/>
          <w:bottom w:val="nil"/>
          <w:right w:val="nil"/>
          <w:between w:val="nil"/>
        </w:pBdr>
        <w:spacing w:after="160"/>
      </w:pPr>
      <w:r>
        <w:t>Reuse accounted for the largest share of interventions, with eight examples covering take-back schemes, clothing rental, resale platforms, and peer-to-peer sharing models. These were mostly full-market interventions with clear commercial uptake. Many leveraged digital infrastructure to connect consumers and extend product life. Scalability was consistently high, with several already operating nationally, and transferability ranged from unclear to high, depending on the product type and logistics model.</w:t>
      </w:r>
    </w:p>
    <w:p w14:paraId="00000131" w14:textId="77777777" w:rsidR="00D24D63" w:rsidRDefault="001A3940">
      <w:pPr>
        <w:rPr>
          <w:b/>
          <w:bCs/>
        </w:rPr>
      </w:pPr>
      <w:r>
        <w:rPr>
          <w:b/>
          <w:bCs/>
        </w:rPr>
        <w:t>Repair</w:t>
      </w:r>
    </w:p>
    <w:p w14:paraId="00000132" w14:textId="77777777" w:rsidR="00D24D63" w:rsidRDefault="001A3940">
      <w:pPr>
        <w:pBdr>
          <w:top w:val="nil"/>
          <w:left w:val="nil"/>
          <w:bottom w:val="nil"/>
          <w:right w:val="nil"/>
          <w:between w:val="nil"/>
        </w:pBdr>
        <w:spacing w:after="160"/>
      </w:pPr>
      <w:r>
        <w:t>Six repair interventions were identified, primarily focused on service models and repair technologies for clothing. These ranged from professional repair services and mobile tailoring apps to community-based initiatives. Market readiness varied from pilot to full-market scale, with strong evidence of scalability. Most interventions demonstrated high transferability, as the repair principles are applicable across textile types and even to other consumer goods sectors.</w:t>
      </w:r>
    </w:p>
    <w:p w14:paraId="00000133" w14:textId="77777777" w:rsidR="00D24D63" w:rsidRDefault="001A3940">
      <w:pPr>
        <w:rPr>
          <w:b/>
          <w:bCs/>
        </w:rPr>
      </w:pPr>
      <w:r>
        <w:rPr>
          <w:b/>
          <w:bCs/>
        </w:rPr>
        <w:t>Refurbish</w:t>
      </w:r>
    </w:p>
    <w:p w14:paraId="00000134" w14:textId="19BD9036" w:rsidR="00D24D63" w:rsidRDefault="001A3940">
      <w:pPr>
        <w:pBdr>
          <w:top w:val="nil"/>
          <w:left w:val="nil"/>
          <w:bottom w:val="nil"/>
          <w:right w:val="nil"/>
          <w:between w:val="nil"/>
        </w:pBdr>
        <w:spacing w:after="160"/>
      </w:pPr>
      <w:r>
        <w:t>One refurbishment intervention was found, involving refurbishment of returned garments by improving the condition and longevity for resale or rental. This full-market activity demonstrated both environmental and economic benefits, with services having been provided for over 20 years, showing high scalability and high sector transferability, particularly for sectors involving consumer goods with multiple life cycles.</w:t>
      </w:r>
    </w:p>
    <w:p w14:paraId="00000135" w14:textId="77777777" w:rsidR="00D24D63" w:rsidRDefault="001A3940">
      <w:pPr>
        <w:rPr>
          <w:b/>
          <w:bCs/>
        </w:rPr>
      </w:pPr>
      <w:r>
        <w:rPr>
          <w:b/>
          <w:bCs/>
        </w:rPr>
        <w:t>Remanufacture</w:t>
      </w:r>
    </w:p>
    <w:p w14:paraId="00000136" w14:textId="77777777" w:rsidR="00D24D63" w:rsidRDefault="001A3940">
      <w:pPr>
        <w:pBdr>
          <w:top w:val="nil"/>
          <w:left w:val="nil"/>
          <w:bottom w:val="nil"/>
          <w:right w:val="nil"/>
          <w:between w:val="nil"/>
        </w:pBdr>
        <w:spacing w:after="160"/>
      </w:pPr>
      <w:r>
        <w:t>One intervention focused on remanufacturing textile waste through enzymatic processing of post-consumer and post-industrial fibres. This was at the demonstrator phase and remains primarily research-led. It has strong potential for national scaling but currently low transferability, given its reliance on specialised materials science and high capital requirements.</w:t>
      </w:r>
    </w:p>
    <w:p w14:paraId="00000137" w14:textId="77777777" w:rsidR="00D24D63" w:rsidRDefault="001A3940">
      <w:pPr>
        <w:rPr>
          <w:b/>
          <w:bCs/>
        </w:rPr>
      </w:pPr>
      <w:r>
        <w:rPr>
          <w:b/>
          <w:bCs/>
        </w:rPr>
        <w:t>Repurpose</w:t>
      </w:r>
    </w:p>
    <w:p w14:paraId="00000138" w14:textId="77777777" w:rsidR="00D24D63" w:rsidRDefault="001A3940">
      <w:pPr>
        <w:pBdr>
          <w:top w:val="nil"/>
          <w:left w:val="nil"/>
          <w:bottom w:val="nil"/>
          <w:right w:val="nil"/>
          <w:between w:val="nil"/>
        </w:pBdr>
        <w:spacing w:after="160"/>
      </w:pPr>
      <w:r>
        <w:lastRenderedPageBreak/>
        <w:t>Four repurpose interventions were identified, converting textile or fabric waste into new products such as paper, bags, or fibres. These spanned pilot to commercial scales and generally demonstrated moderate scalability, though transferability varied due to dependence on feedstock types and local manufacturing capacity.</w:t>
      </w:r>
    </w:p>
    <w:p w14:paraId="00000139" w14:textId="77777777" w:rsidR="00D24D63" w:rsidRDefault="001A3940">
      <w:pPr>
        <w:rPr>
          <w:b/>
          <w:bCs/>
        </w:rPr>
      </w:pPr>
      <w:r>
        <w:rPr>
          <w:b/>
          <w:bCs/>
        </w:rPr>
        <w:t>Recycle</w:t>
      </w:r>
    </w:p>
    <w:p w14:paraId="0000013A" w14:textId="77777777" w:rsidR="00D24D63" w:rsidRDefault="001A3940">
      <w:pPr>
        <w:pBdr>
          <w:top w:val="nil"/>
          <w:left w:val="nil"/>
          <w:bottom w:val="nil"/>
          <w:right w:val="nil"/>
          <w:between w:val="nil"/>
        </w:pBdr>
        <w:spacing w:after="160"/>
      </w:pPr>
      <w:r>
        <w:t>Four recycling-related interventions were identified, focused on technology development for textile recycling, particularly in enzyme-assisted and fibre-to-fibre methods. These were in research and applied stages, showing technical feasibility but limited commercial readiness. All were assessed as scalable with low sector transferability, as the technologies are fibre-specific and not easily generalised.</w:t>
      </w:r>
    </w:p>
    <w:p w14:paraId="0000013B" w14:textId="77777777" w:rsidR="00D24D63" w:rsidRDefault="00D24D63">
      <w:pPr>
        <w:pBdr>
          <w:top w:val="nil"/>
          <w:left w:val="nil"/>
          <w:bottom w:val="nil"/>
          <w:right w:val="nil"/>
          <w:between w:val="nil"/>
        </w:pBdr>
        <w:spacing w:after="160"/>
      </w:pPr>
    </w:p>
    <w:p w14:paraId="0000013C" w14:textId="77777777" w:rsidR="00D24D63" w:rsidRDefault="001A3940">
      <w:pPr>
        <w:pStyle w:val="Heading2"/>
        <w:spacing w:after="200"/>
      </w:pPr>
      <w:bookmarkStart w:id="18" w:name="_heading=h.qflcoh7qx8k3" w:colFirst="0" w:colLast="0"/>
      <w:bookmarkEnd w:id="18"/>
      <w:r>
        <w:t>3.2 Cross-cutting findings</w:t>
      </w:r>
    </w:p>
    <w:p w14:paraId="0000013D" w14:textId="77777777" w:rsidR="00D24D63" w:rsidRDefault="001A3940">
      <w:pPr>
        <w:pStyle w:val="Heading3"/>
        <w:spacing w:after="200"/>
      </w:pPr>
      <w:bookmarkStart w:id="19" w:name="_heading=h.ghp1u8la29ny" w:colFirst="0" w:colLast="0"/>
      <w:bookmarkEnd w:id="19"/>
      <w:r>
        <w:t>3.2.1 General findings</w:t>
      </w:r>
    </w:p>
    <w:p w14:paraId="0000013E" w14:textId="77777777" w:rsidR="00D24D63" w:rsidRDefault="001A3940">
      <w:r>
        <w:t>Across the 102 interventions mapped, most were at full market or pilot/small-scale trial stages (Table 3). This pattern suggests that while the circular economy agenda in the UK is active, progress remains largely incremental and sector-specific rather than systemic. Full-market interventions often optimise existing business models (for example, through packaging redesign, reuse schemes, or resale platforms) without altering underlying patterns of production and consumption. Pilot initiatives, meanwhile, tend to operate in isolation or at limited scale, testing new ideas without yet influencing the wider system of regulation, infrastructure, or investment that would enable transformation. The result is a field characterised by both commercial maturity and innovation activity, but with limited integration between the two ends of the spectrum.</w:t>
      </w:r>
    </w:p>
    <w:p w14:paraId="0000013F" w14:textId="77777777" w:rsidR="00D24D63" w:rsidRDefault="00D24D63"/>
    <w:p w14:paraId="00000140" w14:textId="77777777" w:rsidR="00D24D63" w:rsidRDefault="001A3940">
      <w:pPr>
        <w:rPr>
          <w:i/>
          <w:iCs/>
        </w:rPr>
      </w:pPr>
      <w:r>
        <w:rPr>
          <w:b/>
          <w:bCs/>
          <w:i/>
          <w:iCs/>
        </w:rPr>
        <w:t xml:space="preserve">Table 3. </w:t>
      </w:r>
      <w:r>
        <w:rPr>
          <w:i/>
          <w:iCs/>
        </w:rPr>
        <w:t>Total counts of TRL scale per sector</w:t>
      </w:r>
    </w:p>
    <w:tbl>
      <w:tblPr>
        <w:tblStyle w:val="6"/>
        <w:tblW w:w="9135" w:type="dxa"/>
        <w:tblBorders>
          <w:top w:val="nil"/>
          <w:left w:val="nil"/>
          <w:bottom w:val="nil"/>
          <w:right w:val="nil"/>
          <w:insideH w:val="nil"/>
          <w:insideV w:val="nil"/>
        </w:tblBorders>
        <w:tblLayout w:type="fixed"/>
        <w:tblLook w:val="0600" w:firstRow="0" w:lastRow="0" w:firstColumn="0" w:lastColumn="0" w:noHBand="1" w:noVBand="1"/>
      </w:tblPr>
      <w:tblGrid>
        <w:gridCol w:w="1680"/>
        <w:gridCol w:w="1155"/>
        <w:gridCol w:w="1455"/>
        <w:gridCol w:w="1230"/>
        <w:gridCol w:w="720"/>
        <w:gridCol w:w="1035"/>
        <w:gridCol w:w="1185"/>
        <w:gridCol w:w="675"/>
      </w:tblGrid>
      <w:tr w:rsidR="00D24D63" w14:paraId="21661128" w14:textId="77777777">
        <w:trPr>
          <w:trHeight w:val="300"/>
        </w:trPr>
        <w:tc>
          <w:tcPr>
            <w:tcW w:w="1680" w:type="dxa"/>
            <w:tcBorders>
              <w:top w:val="single" w:sz="6" w:space="0" w:color="000000"/>
              <w:left w:val="single" w:sz="6" w:space="0" w:color="000000"/>
              <w:bottom w:val="single" w:sz="6" w:space="0" w:color="CCCCCC"/>
              <w:right w:val="single" w:sz="6" w:space="0" w:color="CCCCCC"/>
            </w:tcBorders>
            <w:tcMar>
              <w:top w:w="0" w:type="dxa"/>
              <w:left w:w="40" w:type="dxa"/>
              <w:bottom w:w="0" w:type="dxa"/>
              <w:right w:w="40" w:type="dxa"/>
            </w:tcMar>
            <w:vAlign w:val="bottom"/>
          </w:tcPr>
          <w:p w14:paraId="00000141" w14:textId="77777777" w:rsidR="00D24D63" w:rsidRDefault="00D24D63">
            <w:pPr>
              <w:widowControl w:val="0"/>
              <w:spacing w:line="276" w:lineRule="auto"/>
              <w:jc w:val="left"/>
              <w:rPr>
                <w:rFonts w:ascii="Arial" w:eastAsia="Arial" w:hAnsi="Arial" w:cs="Arial"/>
              </w:rPr>
            </w:pPr>
          </w:p>
        </w:tc>
        <w:tc>
          <w:tcPr>
            <w:tcW w:w="7455" w:type="dxa"/>
            <w:gridSpan w:val="7"/>
            <w:tcBorders>
              <w:top w:val="single" w:sz="6" w:space="0" w:color="000000"/>
              <w:left w:val="single" w:sz="6" w:space="0" w:color="CCCCCC"/>
              <w:bottom w:val="single" w:sz="6" w:space="0" w:color="CCCCCC"/>
              <w:right w:val="single" w:sz="6" w:space="0" w:color="000000"/>
            </w:tcBorders>
            <w:shd w:val="clear" w:color="auto" w:fill="D9D2E9"/>
            <w:tcMar>
              <w:top w:w="0" w:type="dxa"/>
              <w:left w:w="40" w:type="dxa"/>
              <w:bottom w:w="0" w:type="dxa"/>
              <w:right w:w="40" w:type="dxa"/>
            </w:tcMar>
            <w:vAlign w:val="bottom"/>
          </w:tcPr>
          <w:p w14:paraId="00000142" w14:textId="77777777" w:rsidR="00D24D63" w:rsidRDefault="001A3940">
            <w:pPr>
              <w:widowControl w:val="0"/>
              <w:spacing w:line="276" w:lineRule="auto"/>
              <w:jc w:val="center"/>
              <w:rPr>
                <w:rFonts w:ascii="Arial" w:eastAsia="Arial" w:hAnsi="Arial" w:cs="Arial"/>
              </w:rPr>
            </w:pPr>
            <w:r>
              <w:rPr>
                <w:rFonts w:ascii="Arial" w:eastAsia="Arial" w:hAnsi="Arial" w:cs="Arial"/>
                <w:b/>
                <w:bCs/>
              </w:rPr>
              <w:t>Counts</w:t>
            </w:r>
          </w:p>
        </w:tc>
      </w:tr>
      <w:tr w:rsidR="00D24D63" w14:paraId="63ACF675" w14:textId="77777777">
        <w:trPr>
          <w:trHeight w:val="51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49" w14:textId="77777777" w:rsidR="00D24D63" w:rsidRDefault="001A3940">
            <w:pPr>
              <w:widowControl w:val="0"/>
              <w:spacing w:line="276" w:lineRule="auto"/>
              <w:jc w:val="left"/>
              <w:rPr>
                <w:rFonts w:ascii="Arial" w:eastAsia="Arial" w:hAnsi="Arial" w:cs="Arial"/>
              </w:rPr>
            </w:pPr>
            <w:r>
              <w:rPr>
                <w:rFonts w:ascii="Arial" w:eastAsia="Arial" w:hAnsi="Arial" w:cs="Arial"/>
                <w:b/>
                <w:bCs/>
              </w:rPr>
              <w:t>TRL Scale</w:t>
            </w:r>
          </w:p>
        </w:tc>
        <w:tc>
          <w:tcPr>
            <w:tcW w:w="115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4A" w14:textId="77777777" w:rsidR="00D24D63" w:rsidRDefault="001A3940">
            <w:pPr>
              <w:widowControl w:val="0"/>
              <w:spacing w:line="276" w:lineRule="auto"/>
              <w:jc w:val="left"/>
              <w:rPr>
                <w:rFonts w:ascii="Arial" w:eastAsia="Arial" w:hAnsi="Arial" w:cs="Arial"/>
              </w:rPr>
            </w:pPr>
            <w:r>
              <w:rPr>
                <w:rFonts w:ascii="Arial" w:eastAsia="Arial" w:hAnsi="Arial" w:cs="Arial"/>
                <w:b/>
                <w:bCs/>
              </w:rPr>
              <w:t>Agri-Food</w:t>
            </w:r>
          </w:p>
        </w:tc>
        <w:tc>
          <w:tcPr>
            <w:tcW w:w="145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4B" w14:textId="77777777" w:rsidR="00D24D63" w:rsidRDefault="001A3940">
            <w:pPr>
              <w:widowControl w:val="0"/>
              <w:spacing w:line="276" w:lineRule="auto"/>
              <w:jc w:val="left"/>
              <w:rPr>
                <w:rFonts w:ascii="Arial" w:eastAsia="Arial" w:hAnsi="Arial" w:cs="Arial"/>
              </w:rPr>
            </w:pPr>
            <w:r>
              <w:rPr>
                <w:rFonts w:ascii="Arial" w:eastAsia="Arial" w:hAnsi="Arial" w:cs="Arial"/>
                <w:b/>
                <w:bCs/>
              </w:rPr>
              <w:t>Built Environment</w:t>
            </w:r>
          </w:p>
        </w:tc>
        <w:tc>
          <w:tcPr>
            <w:tcW w:w="123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4C" w14:textId="77777777" w:rsidR="00D24D63" w:rsidRDefault="001A3940">
            <w:pPr>
              <w:widowControl w:val="0"/>
              <w:spacing w:line="276" w:lineRule="auto"/>
              <w:jc w:val="left"/>
              <w:rPr>
                <w:rFonts w:ascii="Arial" w:eastAsia="Arial" w:hAnsi="Arial" w:cs="Arial"/>
              </w:rPr>
            </w:pPr>
            <w:r>
              <w:rPr>
                <w:rFonts w:ascii="Arial" w:eastAsia="Arial" w:hAnsi="Arial" w:cs="Arial"/>
                <w:b/>
                <w:bCs/>
              </w:rPr>
              <w:t>Chemicals and Plastics</w:t>
            </w:r>
          </w:p>
        </w:tc>
        <w:tc>
          <w:tcPr>
            <w:tcW w:w="72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4D" w14:textId="77777777" w:rsidR="00D24D63" w:rsidRDefault="001A3940">
            <w:pPr>
              <w:widowControl w:val="0"/>
              <w:spacing w:line="276" w:lineRule="auto"/>
              <w:jc w:val="left"/>
              <w:rPr>
                <w:rFonts w:ascii="Arial" w:eastAsia="Arial" w:hAnsi="Arial" w:cs="Arial"/>
              </w:rPr>
            </w:pPr>
            <w:r>
              <w:rPr>
                <w:rFonts w:ascii="Arial" w:eastAsia="Arial" w:hAnsi="Arial" w:cs="Arial"/>
                <w:b/>
                <w:bCs/>
              </w:rPr>
              <w:t>EEE</w:t>
            </w:r>
          </w:p>
        </w:tc>
        <w:tc>
          <w:tcPr>
            <w:tcW w:w="103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4E" w14:textId="77777777" w:rsidR="00D24D63" w:rsidRDefault="001A3940">
            <w:pPr>
              <w:widowControl w:val="0"/>
              <w:spacing w:line="276" w:lineRule="auto"/>
              <w:jc w:val="left"/>
              <w:rPr>
                <w:rFonts w:ascii="Arial" w:eastAsia="Arial" w:hAnsi="Arial" w:cs="Arial"/>
              </w:rPr>
            </w:pPr>
            <w:r>
              <w:rPr>
                <w:rFonts w:ascii="Arial" w:eastAsia="Arial" w:hAnsi="Arial" w:cs="Arial"/>
                <w:b/>
                <w:bCs/>
              </w:rPr>
              <w:t>Textiles</w:t>
            </w:r>
          </w:p>
        </w:tc>
        <w:tc>
          <w:tcPr>
            <w:tcW w:w="118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4F" w14:textId="77777777" w:rsidR="00D24D63" w:rsidRDefault="001A3940">
            <w:pPr>
              <w:widowControl w:val="0"/>
              <w:spacing w:line="276" w:lineRule="auto"/>
              <w:jc w:val="left"/>
              <w:rPr>
                <w:rFonts w:ascii="Arial" w:eastAsia="Arial" w:hAnsi="Arial" w:cs="Arial"/>
              </w:rPr>
            </w:pPr>
            <w:r>
              <w:rPr>
                <w:rFonts w:ascii="Arial" w:eastAsia="Arial" w:hAnsi="Arial" w:cs="Arial"/>
                <w:b/>
                <w:bCs/>
              </w:rPr>
              <w:t>Transport</w:t>
            </w:r>
          </w:p>
        </w:tc>
        <w:tc>
          <w:tcPr>
            <w:tcW w:w="675" w:type="dxa"/>
            <w:tcBorders>
              <w:top w:val="single" w:sz="6" w:space="0" w:color="CCCCCC"/>
              <w:left w:val="single" w:sz="6" w:space="0" w:color="CCCCCC"/>
              <w:bottom w:val="single" w:sz="6" w:space="0" w:color="CCCCCC"/>
              <w:right w:val="single" w:sz="6" w:space="0" w:color="000000"/>
            </w:tcBorders>
            <w:shd w:val="clear" w:color="auto" w:fill="D9D2E9"/>
            <w:tcMar>
              <w:top w:w="0" w:type="dxa"/>
              <w:left w:w="40" w:type="dxa"/>
              <w:bottom w:w="0" w:type="dxa"/>
              <w:right w:w="40" w:type="dxa"/>
            </w:tcMar>
            <w:vAlign w:val="bottom"/>
          </w:tcPr>
          <w:p w14:paraId="00000150" w14:textId="77777777" w:rsidR="00D24D63" w:rsidRDefault="001A3940">
            <w:pPr>
              <w:widowControl w:val="0"/>
              <w:spacing w:line="276" w:lineRule="auto"/>
              <w:jc w:val="left"/>
              <w:rPr>
                <w:rFonts w:ascii="Arial" w:eastAsia="Arial" w:hAnsi="Arial" w:cs="Arial"/>
              </w:rPr>
            </w:pPr>
            <w:r>
              <w:rPr>
                <w:rFonts w:ascii="Arial" w:eastAsia="Arial" w:hAnsi="Arial" w:cs="Arial"/>
                <w:b/>
                <w:bCs/>
              </w:rPr>
              <w:t>Total</w:t>
            </w:r>
          </w:p>
        </w:tc>
      </w:tr>
      <w:tr w:rsidR="00D24D63" w14:paraId="7D77D8EA"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51" w14:textId="77777777" w:rsidR="00D24D63" w:rsidRDefault="001A3940">
            <w:pPr>
              <w:widowControl w:val="0"/>
              <w:spacing w:line="276" w:lineRule="auto"/>
              <w:jc w:val="left"/>
              <w:rPr>
                <w:rFonts w:ascii="Arial" w:eastAsia="Arial" w:hAnsi="Arial" w:cs="Arial"/>
              </w:rPr>
            </w:pPr>
            <w:r>
              <w:rPr>
                <w:rFonts w:ascii="Arial" w:eastAsia="Arial" w:hAnsi="Arial" w:cs="Arial"/>
              </w:rPr>
              <w:t>Full Market</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2" w14:textId="77777777" w:rsidR="00D24D63" w:rsidRDefault="001A3940">
            <w:pPr>
              <w:widowControl w:val="0"/>
              <w:spacing w:line="276" w:lineRule="auto"/>
              <w:jc w:val="center"/>
              <w:rPr>
                <w:rFonts w:ascii="Arial" w:eastAsia="Arial" w:hAnsi="Arial" w:cs="Arial"/>
              </w:rPr>
            </w:pPr>
            <w:r>
              <w:rPr>
                <w:rFonts w:ascii="Arial" w:eastAsia="Arial" w:hAnsi="Arial" w:cs="Arial"/>
              </w:rPr>
              <w:t>10</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3"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4" w14:textId="77777777" w:rsidR="00D24D63" w:rsidRDefault="001A3940">
            <w:pPr>
              <w:widowControl w:val="0"/>
              <w:spacing w:line="276" w:lineRule="auto"/>
              <w:jc w:val="center"/>
              <w:rPr>
                <w:rFonts w:ascii="Arial" w:eastAsia="Arial" w:hAnsi="Arial" w:cs="Arial"/>
              </w:rPr>
            </w:pPr>
            <w:r>
              <w:rPr>
                <w:rFonts w:ascii="Arial" w:eastAsia="Arial" w:hAnsi="Arial" w:cs="Arial"/>
              </w:rPr>
              <w:t>13</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5" w14:textId="77777777" w:rsidR="00D24D63" w:rsidRDefault="001A3940">
            <w:pPr>
              <w:widowControl w:val="0"/>
              <w:spacing w:line="276" w:lineRule="auto"/>
              <w:jc w:val="center"/>
              <w:rPr>
                <w:rFonts w:ascii="Arial" w:eastAsia="Arial" w:hAnsi="Arial" w:cs="Arial"/>
              </w:rPr>
            </w:pPr>
            <w:r>
              <w:rPr>
                <w:rFonts w:ascii="Arial" w:eastAsia="Arial" w:hAnsi="Arial" w:cs="Arial"/>
              </w:rPr>
              <w:t>7</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6" w14:textId="77777777" w:rsidR="00D24D63" w:rsidRDefault="001A3940">
            <w:pPr>
              <w:widowControl w:val="0"/>
              <w:spacing w:line="276" w:lineRule="auto"/>
              <w:jc w:val="center"/>
              <w:rPr>
                <w:rFonts w:ascii="Arial" w:eastAsia="Arial" w:hAnsi="Arial" w:cs="Arial"/>
              </w:rPr>
            </w:pPr>
            <w:r>
              <w:rPr>
                <w:rFonts w:ascii="Arial" w:eastAsia="Arial" w:hAnsi="Arial" w:cs="Arial"/>
              </w:rPr>
              <w:t>11</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7" w14:textId="77777777" w:rsidR="00D24D63" w:rsidRDefault="001A3940">
            <w:pPr>
              <w:widowControl w:val="0"/>
              <w:spacing w:line="276" w:lineRule="auto"/>
              <w:jc w:val="center"/>
              <w:rPr>
                <w:rFonts w:ascii="Arial" w:eastAsia="Arial" w:hAnsi="Arial" w:cs="Arial"/>
              </w:rPr>
            </w:pPr>
            <w:r>
              <w:rPr>
                <w:rFonts w:ascii="Arial" w:eastAsia="Arial" w:hAnsi="Arial" w:cs="Arial"/>
              </w:rPr>
              <w:t>7</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58" w14:textId="77777777" w:rsidR="00D24D63" w:rsidRDefault="001A3940">
            <w:pPr>
              <w:widowControl w:val="0"/>
              <w:spacing w:line="276" w:lineRule="auto"/>
              <w:jc w:val="center"/>
              <w:rPr>
                <w:rFonts w:ascii="Arial" w:eastAsia="Arial" w:hAnsi="Arial" w:cs="Arial"/>
              </w:rPr>
            </w:pPr>
            <w:r>
              <w:rPr>
                <w:rFonts w:ascii="Arial" w:eastAsia="Arial" w:hAnsi="Arial" w:cs="Arial"/>
              </w:rPr>
              <w:t>49</w:t>
            </w:r>
          </w:p>
        </w:tc>
      </w:tr>
      <w:tr w:rsidR="00D24D63" w14:paraId="79C99738"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59" w14:textId="77777777" w:rsidR="00D24D63" w:rsidRDefault="001A3940">
            <w:pPr>
              <w:widowControl w:val="0"/>
              <w:spacing w:line="276" w:lineRule="auto"/>
              <w:jc w:val="left"/>
              <w:rPr>
                <w:rFonts w:ascii="Arial" w:eastAsia="Arial" w:hAnsi="Arial" w:cs="Arial"/>
              </w:rPr>
            </w:pPr>
            <w:r>
              <w:rPr>
                <w:rFonts w:ascii="Arial" w:eastAsia="Arial" w:hAnsi="Arial" w:cs="Arial"/>
              </w:rPr>
              <w:t>Commercial</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A"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B"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C" w14:textId="77777777" w:rsidR="00D24D63" w:rsidRDefault="001A3940">
            <w:pPr>
              <w:widowControl w:val="0"/>
              <w:spacing w:line="276" w:lineRule="auto"/>
              <w:jc w:val="center"/>
              <w:rPr>
                <w:rFonts w:ascii="Arial" w:eastAsia="Arial" w:hAnsi="Arial" w:cs="Arial"/>
              </w:rPr>
            </w:pPr>
            <w:r>
              <w:rPr>
                <w:rFonts w:ascii="Arial" w:eastAsia="Arial" w:hAnsi="Arial" w:cs="Arial"/>
              </w:rPr>
              <w:t>3</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D"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E"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5F"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60" w14:textId="77777777" w:rsidR="00D24D63" w:rsidRDefault="001A3940">
            <w:pPr>
              <w:widowControl w:val="0"/>
              <w:spacing w:line="276" w:lineRule="auto"/>
              <w:jc w:val="center"/>
              <w:rPr>
                <w:rFonts w:ascii="Arial" w:eastAsia="Arial" w:hAnsi="Arial" w:cs="Arial"/>
              </w:rPr>
            </w:pPr>
            <w:r>
              <w:rPr>
                <w:rFonts w:ascii="Arial" w:eastAsia="Arial" w:hAnsi="Arial" w:cs="Arial"/>
              </w:rPr>
              <w:t>5</w:t>
            </w:r>
          </w:p>
        </w:tc>
      </w:tr>
      <w:tr w:rsidR="00D24D63" w14:paraId="45BB361B"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61" w14:textId="77777777" w:rsidR="00D24D63" w:rsidRDefault="001A3940">
            <w:pPr>
              <w:widowControl w:val="0"/>
              <w:spacing w:line="276" w:lineRule="auto"/>
              <w:jc w:val="left"/>
              <w:rPr>
                <w:rFonts w:ascii="Arial" w:eastAsia="Arial" w:hAnsi="Arial" w:cs="Arial"/>
              </w:rPr>
            </w:pPr>
            <w:r>
              <w:rPr>
                <w:rFonts w:ascii="Arial" w:eastAsia="Arial" w:hAnsi="Arial" w:cs="Arial"/>
              </w:rPr>
              <w:t>Pre-commercial</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2"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3"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4"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5"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6"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7"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68"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r>
      <w:tr w:rsidR="00D24D63" w14:paraId="3A177FE7"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69" w14:textId="77777777" w:rsidR="00D24D63" w:rsidRDefault="001A3940">
            <w:pPr>
              <w:widowControl w:val="0"/>
              <w:spacing w:line="276" w:lineRule="auto"/>
              <w:jc w:val="left"/>
              <w:rPr>
                <w:rFonts w:ascii="Arial" w:eastAsia="Arial" w:hAnsi="Arial" w:cs="Arial"/>
              </w:rPr>
            </w:pPr>
            <w:r>
              <w:rPr>
                <w:rFonts w:ascii="Arial" w:eastAsia="Arial" w:hAnsi="Arial" w:cs="Arial"/>
              </w:rPr>
              <w:t>Demonstrator</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A"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B"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C"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D"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E"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6F"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70"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r>
      <w:tr w:rsidR="00D24D63" w14:paraId="32928F72"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71" w14:textId="77777777" w:rsidR="00D24D63" w:rsidRDefault="001A3940">
            <w:pPr>
              <w:widowControl w:val="0"/>
              <w:spacing w:line="276" w:lineRule="auto"/>
              <w:jc w:val="left"/>
              <w:rPr>
                <w:rFonts w:ascii="Arial" w:eastAsia="Arial" w:hAnsi="Arial" w:cs="Arial"/>
              </w:rPr>
            </w:pPr>
            <w:r>
              <w:rPr>
                <w:rFonts w:ascii="Arial" w:eastAsia="Arial" w:hAnsi="Arial" w:cs="Arial"/>
              </w:rPr>
              <w:t>Pilot/Small scale trial</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2"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3"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4"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5"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6" w14:textId="77777777" w:rsidR="00D24D63" w:rsidRDefault="001A3940">
            <w:pPr>
              <w:widowControl w:val="0"/>
              <w:spacing w:line="276" w:lineRule="auto"/>
              <w:jc w:val="center"/>
              <w:rPr>
                <w:rFonts w:ascii="Arial" w:eastAsia="Arial" w:hAnsi="Arial" w:cs="Arial"/>
              </w:rPr>
            </w:pPr>
            <w:r>
              <w:rPr>
                <w:rFonts w:ascii="Arial" w:eastAsia="Arial" w:hAnsi="Arial" w:cs="Arial"/>
              </w:rPr>
              <w:t>7</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7" w14:textId="77777777" w:rsidR="00D24D63" w:rsidRDefault="001A3940">
            <w:pPr>
              <w:widowControl w:val="0"/>
              <w:spacing w:line="276" w:lineRule="auto"/>
              <w:jc w:val="center"/>
              <w:rPr>
                <w:rFonts w:ascii="Arial" w:eastAsia="Arial" w:hAnsi="Arial" w:cs="Arial"/>
              </w:rPr>
            </w:pPr>
            <w:r>
              <w:rPr>
                <w:rFonts w:ascii="Arial" w:eastAsia="Arial" w:hAnsi="Arial" w:cs="Arial"/>
              </w:rPr>
              <w:t>3</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78" w14:textId="77777777" w:rsidR="00D24D63" w:rsidRDefault="001A3940">
            <w:pPr>
              <w:widowControl w:val="0"/>
              <w:spacing w:line="276" w:lineRule="auto"/>
              <w:jc w:val="center"/>
              <w:rPr>
                <w:rFonts w:ascii="Arial" w:eastAsia="Arial" w:hAnsi="Arial" w:cs="Arial"/>
              </w:rPr>
            </w:pPr>
            <w:r>
              <w:rPr>
                <w:rFonts w:ascii="Arial" w:eastAsia="Arial" w:hAnsi="Arial" w:cs="Arial"/>
              </w:rPr>
              <w:t>23</w:t>
            </w:r>
          </w:p>
        </w:tc>
      </w:tr>
      <w:tr w:rsidR="00D24D63" w14:paraId="3B95C9AD"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79" w14:textId="77777777" w:rsidR="00D24D63" w:rsidRDefault="001A3940">
            <w:pPr>
              <w:widowControl w:val="0"/>
              <w:spacing w:line="276" w:lineRule="auto"/>
              <w:jc w:val="left"/>
              <w:rPr>
                <w:rFonts w:ascii="Arial" w:eastAsia="Arial" w:hAnsi="Arial" w:cs="Arial"/>
              </w:rPr>
            </w:pPr>
            <w:r>
              <w:rPr>
                <w:rFonts w:ascii="Arial" w:eastAsia="Arial" w:hAnsi="Arial" w:cs="Arial"/>
              </w:rPr>
              <w:t>Lap/Prototype</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A"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B"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C"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D"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E"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7F"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80" w14:textId="77777777" w:rsidR="00D24D63" w:rsidRDefault="001A3940">
            <w:pPr>
              <w:widowControl w:val="0"/>
              <w:spacing w:line="276" w:lineRule="auto"/>
              <w:jc w:val="center"/>
              <w:rPr>
                <w:rFonts w:ascii="Arial" w:eastAsia="Arial" w:hAnsi="Arial" w:cs="Arial"/>
              </w:rPr>
            </w:pPr>
            <w:r>
              <w:rPr>
                <w:rFonts w:ascii="Arial" w:eastAsia="Arial" w:hAnsi="Arial" w:cs="Arial"/>
              </w:rPr>
              <w:t>3</w:t>
            </w:r>
          </w:p>
        </w:tc>
      </w:tr>
      <w:tr w:rsidR="00D24D63" w14:paraId="7C66D3B3"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81" w14:textId="77777777" w:rsidR="00D24D63" w:rsidRDefault="001A3940">
            <w:pPr>
              <w:widowControl w:val="0"/>
              <w:spacing w:line="276" w:lineRule="auto"/>
              <w:jc w:val="left"/>
              <w:rPr>
                <w:rFonts w:ascii="Arial" w:eastAsia="Arial" w:hAnsi="Arial" w:cs="Arial"/>
              </w:rPr>
            </w:pPr>
            <w:r>
              <w:rPr>
                <w:rFonts w:ascii="Arial" w:eastAsia="Arial" w:hAnsi="Arial" w:cs="Arial"/>
              </w:rPr>
              <w:t>Applied</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2"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3"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4"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5"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6"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7"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88"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r>
      <w:tr w:rsidR="00D24D63" w14:paraId="0FD482C6" w14:textId="77777777">
        <w:trPr>
          <w:trHeight w:val="300"/>
        </w:trPr>
        <w:tc>
          <w:tcPr>
            <w:tcW w:w="168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89" w14:textId="77777777" w:rsidR="00D24D63" w:rsidRDefault="001A3940">
            <w:pPr>
              <w:widowControl w:val="0"/>
              <w:spacing w:line="276" w:lineRule="auto"/>
              <w:jc w:val="left"/>
              <w:rPr>
                <w:rFonts w:ascii="Arial" w:eastAsia="Arial" w:hAnsi="Arial" w:cs="Arial"/>
              </w:rPr>
            </w:pPr>
            <w:r>
              <w:rPr>
                <w:rFonts w:ascii="Arial" w:eastAsia="Arial" w:hAnsi="Arial" w:cs="Arial"/>
              </w:rPr>
              <w:t>Fundamental Research</w:t>
            </w:r>
          </w:p>
        </w:tc>
        <w:tc>
          <w:tcPr>
            <w:tcW w:w="11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A"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45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B" w14:textId="77777777" w:rsidR="00D24D63" w:rsidRDefault="001A3940">
            <w:pPr>
              <w:widowControl w:val="0"/>
              <w:spacing w:line="276" w:lineRule="auto"/>
              <w:jc w:val="center"/>
              <w:rPr>
                <w:rFonts w:ascii="Arial" w:eastAsia="Arial" w:hAnsi="Arial" w:cs="Arial"/>
              </w:rPr>
            </w:pPr>
            <w:r>
              <w:rPr>
                <w:rFonts w:ascii="Arial" w:eastAsia="Arial" w:hAnsi="Arial" w:cs="Arial"/>
              </w:rPr>
              <w:t>3</w:t>
            </w:r>
          </w:p>
        </w:tc>
        <w:tc>
          <w:tcPr>
            <w:tcW w:w="12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C"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72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D"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103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E" w14:textId="77777777" w:rsidR="00D24D63" w:rsidRDefault="001A3940">
            <w:pPr>
              <w:widowControl w:val="0"/>
              <w:spacing w:line="276" w:lineRule="auto"/>
              <w:jc w:val="center"/>
              <w:rPr>
                <w:rFonts w:ascii="Arial" w:eastAsia="Arial" w:hAnsi="Arial" w:cs="Arial"/>
              </w:rPr>
            </w:pPr>
            <w:r>
              <w:rPr>
                <w:rFonts w:ascii="Arial" w:eastAsia="Arial" w:hAnsi="Arial" w:cs="Arial"/>
              </w:rPr>
              <w:t>5</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8F"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67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90" w14:textId="77777777" w:rsidR="00D24D63" w:rsidRDefault="001A3940">
            <w:pPr>
              <w:widowControl w:val="0"/>
              <w:spacing w:line="276" w:lineRule="auto"/>
              <w:jc w:val="center"/>
              <w:rPr>
                <w:rFonts w:ascii="Arial" w:eastAsia="Arial" w:hAnsi="Arial" w:cs="Arial"/>
              </w:rPr>
            </w:pPr>
            <w:r>
              <w:rPr>
                <w:rFonts w:ascii="Arial" w:eastAsia="Arial" w:hAnsi="Arial" w:cs="Arial"/>
              </w:rPr>
              <w:t>15</w:t>
            </w:r>
          </w:p>
        </w:tc>
      </w:tr>
      <w:tr w:rsidR="00D24D63" w14:paraId="66A9AC6F" w14:textId="77777777">
        <w:trPr>
          <w:trHeight w:val="300"/>
        </w:trPr>
        <w:tc>
          <w:tcPr>
            <w:tcW w:w="1680" w:type="dxa"/>
            <w:tcBorders>
              <w:top w:val="single" w:sz="6" w:space="0" w:color="CCCCCC"/>
              <w:left w:val="single" w:sz="6" w:space="0" w:color="000000"/>
              <w:bottom w:val="single" w:sz="6" w:space="0" w:color="000000"/>
              <w:right w:val="single" w:sz="6" w:space="0" w:color="CCCCCC"/>
            </w:tcBorders>
            <w:shd w:val="clear" w:color="auto" w:fill="CFE2F3"/>
            <w:tcMar>
              <w:top w:w="0" w:type="dxa"/>
              <w:left w:w="40" w:type="dxa"/>
              <w:bottom w:w="0" w:type="dxa"/>
              <w:right w:w="40" w:type="dxa"/>
            </w:tcMar>
            <w:vAlign w:val="bottom"/>
          </w:tcPr>
          <w:p w14:paraId="00000191" w14:textId="77777777" w:rsidR="00D24D63" w:rsidRDefault="001A3940">
            <w:pPr>
              <w:widowControl w:val="0"/>
              <w:spacing w:line="276" w:lineRule="auto"/>
              <w:jc w:val="left"/>
              <w:rPr>
                <w:rFonts w:ascii="Arial" w:eastAsia="Arial" w:hAnsi="Arial" w:cs="Arial"/>
              </w:rPr>
            </w:pPr>
            <w:r>
              <w:rPr>
                <w:rFonts w:ascii="Arial" w:eastAsia="Arial" w:hAnsi="Arial" w:cs="Arial"/>
              </w:rPr>
              <w:t>Desk Based</w:t>
            </w:r>
          </w:p>
        </w:tc>
        <w:tc>
          <w:tcPr>
            <w:tcW w:w="115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92"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45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93"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23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94"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72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95"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3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96"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18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97"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6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198"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r>
    </w:tbl>
    <w:p w14:paraId="00000199" w14:textId="77777777" w:rsidR="00D24D63" w:rsidRDefault="00D24D63"/>
    <w:p w14:paraId="0000019A" w14:textId="77777777" w:rsidR="00D24D63" w:rsidRDefault="001A3940">
      <w:r>
        <w:lastRenderedPageBreak/>
        <w:t>The dominance of full-market interventions, particularly in chemicals and plastics and textiles, reflects the maturity and commercialisation of consumer-facing circular models such as packaging redesign, reuse schemes, and resale platforms. These are comparatively easy to implement within existing business structures and often supported by clear market signals and regulatory drivers.</w:t>
      </w:r>
    </w:p>
    <w:p w14:paraId="0000019B" w14:textId="77777777" w:rsidR="00D24D63" w:rsidRDefault="00D24D63"/>
    <w:p w14:paraId="0000019C" w14:textId="723AC94E" w:rsidR="00D24D63" w:rsidRDefault="001A3940">
      <w:r>
        <w:t>By contrast, the built environment and transport sectors show more early-stage or pilot activity. These sectors involve longer asset lifecycles, complex supply chains, and higher capital intensity, which slow down experimentation and adoption. Their interventions often depend on infrastructure-level change or regulatory approval (for example, building codes, material safety standards, or vehicle certification). Such requirements, while essential for safety, can slow experimentation  to remain at demonstration projects, and uptake of disruptive circular models.</w:t>
      </w:r>
    </w:p>
    <w:p w14:paraId="0000019D" w14:textId="77777777" w:rsidR="00D24D63" w:rsidRDefault="00D24D63"/>
    <w:p w14:paraId="0000019E" w14:textId="77777777" w:rsidR="00D24D63" w:rsidRDefault="001A3940">
      <w:r>
        <w:t>The scalability (Table 4) reinforces this overall pattern of activity being concentrated within sectors rather than across systems. Most interventions were classified as either scalable or nationally scalable, indicating potential for wider adoption but often within existing market boundaries. Chemicals and plastics had the most nationally scalable interventions, likely reflecting mature industrial infrastructure and targeted policy support, while textiles and agri-food had the highest number of scalable (but not yet national) initiatives, consistent with their strong base of SME-led or community activity.</w:t>
      </w:r>
    </w:p>
    <w:p w14:paraId="0000019F" w14:textId="77777777" w:rsidR="00D24D63" w:rsidRDefault="00D24D63"/>
    <w:p w14:paraId="000001A0" w14:textId="77777777" w:rsidR="00D24D63" w:rsidRDefault="001A3940">
      <w:pPr>
        <w:rPr>
          <w:i/>
          <w:iCs/>
        </w:rPr>
      </w:pPr>
      <w:r>
        <w:rPr>
          <w:b/>
          <w:bCs/>
          <w:i/>
          <w:iCs/>
        </w:rPr>
        <w:t>Table 4.</w:t>
      </w:r>
      <w:r>
        <w:rPr>
          <w:i/>
          <w:iCs/>
        </w:rPr>
        <w:t xml:space="preserve"> Total counts of scalability per sector </w:t>
      </w:r>
    </w:p>
    <w:tbl>
      <w:tblPr>
        <w:tblStyle w:val="5"/>
        <w:tblW w:w="9030" w:type="dxa"/>
        <w:tblBorders>
          <w:top w:val="nil"/>
          <w:left w:val="nil"/>
          <w:bottom w:val="nil"/>
          <w:right w:val="nil"/>
          <w:insideH w:val="nil"/>
          <w:insideV w:val="nil"/>
        </w:tblBorders>
        <w:tblLayout w:type="fixed"/>
        <w:tblLook w:val="0600" w:firstRow="0" w:lastRow="0" w:firstColumn="0" w:lastColumn="0" w:noHBand="1" w:noVBand="1"/>
      </w:tblPr>
      <w:tblGrid>
        <w:gridCol w:w="1185"/>
        <w:gridCol w:w="1185"/>
        <w:gridCol w:w="1440"/>
        <w:gridCol w:w="1245"/>
        <w:gridCol w:w="780"/>
        <w:gridCol w:w="960"/>
        <w:gridCol w:w="1215"/>
        <w:gridCol w:w="1020"/>
      </w:tblGrid>
      <w:tr w:rsidR="00D24D63" w14:paraId="34C44FAF" w14:textId="77777777">
        <w:trPr>
          <w:trHeight w:val="300"/>
        </w:trPr>
        <w:tc>
          <w:tcPr>
            <w:tcW w:w="1185" w:type="dxa"/>
            <w:tcBorders>
              <w:top w:val="single" w:sz="6" w:space="0" w:color="000000"/>
              <w:left w:val="single" w:sz="6" w:space="0" w:color="000000"/>
              <w:bottom w:val="single" w:sz="6" w:space="0" w:color="CCCCCC"/>
              <w:right w:val="single" w:sz="6" w:space="0" w:color="CCCCCC"/>
            </w:tcBorders>
            <w:tcMar>
              <w:top w:w="0" w:type="dxa"/>
              <w:left w:w="40" w:type="dxa"/>
              <w:bottom w:w="0" w:type="dxa"/>
              <w:right w:w="40" w:type="dxa"/>
            </w:tcMar>
            <w:vAlign w:val="bottom"/>
          </w:tcPr>
          <w:p w14:paraId="000001A1" w14:textId="77777777" w:rsidR="00D24D63" w:rsidRDefault="00D24D63">
            <w:pPr>
              <w:widowControl w:val="0"/>
              <w:spacing w:line="276" w:lineRule="auto"/>
              <w:jc w:val="left"/>
              <w:rPr>
                <w:rFonts w:ascii="Arial" w:eastAsia="Arial" w:hAnsi="Arial" w:cs="Arial"/>
              </w:rPr>
            </w:pPr>
          </w:p>
        </w:tc>
        <w:tc>
          <w:tcPr>
            <w:tcW w:w="7845" w:type="dxa"/>
            <w:gridSpan w:val="7"/>
            <w:tcBorders>
              <w:top w:val="single" w:sz="6" w:space="0" w:color="000000"/>
              <w:left w:val="single" w:sz="6" w:space="0" w:color="CCCCCC"/>
              <w:bottom w:val="single" w:sz="6" w:space="0" w:color="CCCCCC"/>
              <w:right w:val="single" w:sz="6" w:space="0" w:color="000000"/>
            </w:tcBorders>
            <w:shd w:val="clear" w:color="auto" w:fill="D9D2E9"/>
            <w:tcMar>
              <w:top w:w="0" w:type="dxa"/>
              <w:left w:w="40" w:type="dxa"/>
              <w:bottom w:w="0" w:type="dxa"/>
              <w:right w:w="40" w:type="dxa"/>
            </w:tcMar>
            <w:vAlign w:val="bottom"/>
          </w:tcPr>
          <w:p w14:paraId="000001A2" w14:textId="77777777" w:rsidR="00D24D63" w:rsidRDefault="001A3940">
            <w:pPr>
              <w:widowControl w:val="0"/>
              <w:spacing w:line="276" w:lineRule="auto"/>
              <w:jc w:val="center"/>
              <w:rPr>
                <w:rFonts w:ascii="Arial" w:eastAsia="Arial" w:hAnsi="Arial" w:cs="Arial"/>
              </w:rPr>
            </w:pPr>
            <w:r>
              <w:rPr>
                <w:rFonts w:ascii="Arial" w:eastAsia="Arial" w:hAnsi="Arial" w:cs="Arial"/>
                <w:b/>
                <w:bCs/>
              </w:rPr>
              <w:t>Counts</w:t>
            </w:r>
          </w:p>
        </w:tc>
      </w:tr>
      <w:tr w:rsidR="00D24D63" w14:paraId="6A31B494" w14:textId="77777777">
        <w:trPr>
          <w:trHeight w:val="525"/>
        </w:trPr>
        <w:tc>
          <w:tcPr>
            <w:tcW w:w="1185"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A9" w14:textId="77777777" w:rsidR="00D24D63" w:rsidRDefault="001A3940">
            <w:pPr>
              <w:widowControl w:val="0"/>
              <w:spacing w:line="276" w:lineRule="auto"/>
              <w:jc w:val="left"/>
              <w:rPr>
                <w:rFonts w:ascii="Arial" w:eastAsia="Arial" w:hAnsi="Arial" w:cs="Arial"/>
              </w:rPr>
            </w:pPr>
            <w:r>
              <w:rPr>
                <w:rFonts w:ascii="Arial" w:eastAsia="Arial" w:hAnsi="Arial" w:cs="Arial"/>
                <w:b/>
                <w:bCs/>
              </w:rPr>
              <w:t>Scalability</w:t>
            </w:r>
          </w:p>
        </w:tc>
        <w:tc>
          <w:tcPr>
            <w:tcW w:w="118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AA" w14:textId="77777777" w:rsidR="00D24D63" w:rsidRDefault="001A3940">
            <w:pPr>
              <w:widowControl w:val="0"/>
              <w:spacing w:line="276" w:lineRule="auto"/>
              <w:jc w:val="left"/>
              <w:rPr>
                <w:rFonts w:ascii="Arial" w:eastAsia="Arial" w:hAnsi="Arial" w:cs="Arial"/>
              </w:rPr>
            </w:pPr>
            <w:r>
              <w:rPr>
                <w:rFonts w:ascii="Arial" w:eastAsia="Arial" w:hAnsi="Arial" w:cs="Arial"/>
                <w:b/>
                <w:bCs/>
              </w:rPr>
              <w:t>Agri-Food</w:t>
            </w:r>
          </w:p>
        </w:tc>
        <w:tc>
          <w:tcPr>
            <w:tcW w:w="144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AB" w14:textId="77777777" w:rsidR="00D24D63" w:rsidRDefault="001A3940">
            <w:pPr>
              <w:widowControl w:val="0"/>
              <w:spacing w:line="276" w:lineRule="auto"/>
              <w:jc w:val="left"/>
              <w:rPr>
                <w:rFonts w:ascii="Arial" w:eastAsia="Arial" w:hAnsi="Arial" w:cs="Arial"/>
              </w:rPr>
            </w:pPr>
            <w:r>
              <w:rPr>
                <w:rFonts w:ascii="Arial" w:eastAsia="Arial" w:hAnsi="Arial" w:cs="Arial"/>
                <w:b/>
                <w:bCs/>
              </w:rPr>
              <w:t>Built Environment</w:t>
            </w:r>
          </w:p>
        </w:tc>
        <w:tc>
          <w:tcPr>
            <w:tcW w:w="124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AC" w14:textId="77777777" w:rsidR="00D24D63" w:rsidRDefault="001A3940">
            <w:pPr>
              <w:widowControl w:val="0"/>
              <w:spacing w:line="276" w:lineRule="auto"/>
              <w:jc w:val="left"/>
              <w:rPr>
                <w:rFonts w:ascii="Arial" w:eastAsia="Arial" w:hAnsi="Arial" w:cs="Arial"/>
              </w:rPr>
            </w:pPr>
            <w:r>
              <w:rPr>
                <w:rFonts w:ascii="Arial" w:eastAsia="Arial" w:hAnsi="Arial" w:cs="Arial"/>
                <w:b/>
                <w:bCs/>
              </w:rPr>
              <w:t>Chemicals and Plastics</w:t>
            </w:r>
          </w:p>
        </w:tc>
        <w:tc>
          <w:tcPr>
            <w:tcW w:w="78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AD" w14:textId="77777777" w:rsidR="00D24D63" w:rsidRDefault="001A3940">
            <w:pPr>
              <w:widowControl w:val="0"/>
              <w:spacing w:line="276" w:lineRule="auto"/>
              <w:jc w:val="left"/>
              <w:rPr>
                <w:rFonts w:ascii="Arial" w:eastAsia="Arial" w:hAnsi="Arial" w:cs="Arial"/>
              </w:rPr>
            </w:pPr>
            <w:r>
              <w:rPr>
                <w:rFonts w:ascii="Arial" w:eastAsia="Arial" w:hAnsi="Arial" w:cs="Arial"/>
                <w:b/>
                <w:bCs/>
              </w:rPr>
              <w:t>EEE</w:t>
            </w:r>
          </w:p>
        </w:tc>
        <w:tc>
          <w:tcPr>
            <w:tcW w:w="96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AE" w14:textId="77777777" w:rsidR="00D24D63" w:rsidRDefault="001A3940">
            <w:pPr>
              <w:widowControl w:val="0"/>
              <w:spacing w:line="276" w:lineRule="auto"/>
              <w:jc w:val="left"/>
              <w:rPr>
                <w:rFonts w:ascii="Arial" w:eastAsia="Arial" w:hAnsi="Arial" w:cs="Arial"/>
              </w:rPr>
            </w:pPr>
            <w:r>
              <w:rPr>
                <w:rFonts w:ascii="Arial" w:eastAsia="Arial" w:hAnsi="Arial" w:cs="Arial"/>
                <w:b/>
                <w:bCs/>
              </w:rPr>
              <w:t>Textiles</w:t>
            </w:r>
          </w:p>
        </w:tc>
        <w:tc>
          <w:tcPr>
            <w:tcW w:w="121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AF" w14:textId="77777777" w:rsidR="00D24D63" w:rsidRDefault="001A3940">
            <w:pPr>
              <w:widowControl w:val="0"/>
              <w:spacing w:line="276" w:lineRule="auto"/>
              <w:jc w:val="left"/>
              <w:rPr>
                <w:rFonts w:ascii="Arial" w:eastAsia="Arial" w:hAnsi="Arial" w:cs="Arial"/>
              </w:rPr>
            </w:pPr>
            <w:r>
              <w:rPr>
                <w:rFonts w:ascii="Arial" w:eastAsia="Arial" w:hAnsi="Arial" w:cs="Arial"/>
                <w:b/>
                <w:bCs/>
              </w:rPr>
              <w:t>Transport</w:t>
            </w:r>
          </w:p>
        </w:tc>
        <w:tc>
          <w:tcPr>
            <w:tcW w:w="1020" w:type="dxa"/>
            <w:tcBorders>
              <w:top w:val="single" w:sz="6" w:space="0" w:color="CCCCCC"/>
              <w:left w:val="single" w:sz="6" w:space="0" w:color="CCCCCC"/>
              <w:bottom w:val="single" w:sz="6" w:space="0" w:color="CCCCCC"/>
              <w:right w:val="single" w:sz="6" w:space="0" w:color="000000"/>
            </w:tcBorders>
            <w:shd w:val="clear" w:color="auto" w:fill="D9D2E9"/>
            <w:tcMar>
              <w:top w:w="0" w:type="dxa"/>
              <w:left w:w="40" w:type="dxa"/>
              <w:bottom w:w="0" w:type="dxa"/>
              <w:right w:w="40" w:type="dxa"/>
            </w:tcMar>
            <w:vAlign w:val="bottom"/>
          </w:tcPr>
          <w:p w14:paraId="000001B0" w14:textId="77777777" w:rsidR="00D24D63" w:rsidRDefault="001A3940">
            <w:pPr>
              <w:widowControl w:val="0"/>
              <w:spacing w:line="276" w:lineRule="auto"/>
              <w:jc w:val="left"/>
              <w:rPr>
                <w:rFonts w:ascii="Arial" w:eastAsia="Arial" w:hAnsi="Arial" w:cs="Arial"/>
              </w:rPr>
            </w:pPr>
            <w:r>
              <w:rPr>
                <w:rFonts w:ascii="Arial" w:eastAsia="Arial" w:hAnsi="Arial" w:cs="Arial"/>
                <w:b/>
                <w:bCs/>
              </w:rPr>
              <w:t>Total</w:t>
            </w:r>
          </w:p>
        </w:tc>
      </w:tr>
      <w:tr w:rsidR="00D24D63" w14:paraId="0FE980F6" w14:textId="77777777">
        <w:trPr>
          <w:trHeight w:val="300"/>
        </w:trPr>
        <w:tc>
          <w:tcPr>
            <w:tcW w:w="1185"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B1" w14:textId="77777777" w:rsidR="00D24D63" w:rsidRDefault="001A3940">
            <w:pPr>
              <w:widowControl w:val="0"/>
              <w:spacing w:line="276" w:lineRule="auto"/>
              <w:jc w:val="left"/>
              <w:rPr>
                <w:rFonts w:ascii="Arial" w:eastAsia="Arial" w:hAnsi="Arial" w:cs="Arial"/>
              </w:rPr>
            </w:pPr>
            <w:r>
              <w:rPr>
                <w:rFonts w:ascii="Arial" w:eastAsia="Arial" w:hAnsi="Arial" w:cs="Arial"/>
                <w:b/>
                <w:bCs/>
              </w:rPr>
              <w:t>National</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2" w14:textId="77777777" w:rsidR="00D24D63" w:rsidRDefault="001A3940">
            <w:pPr>
              <w:widowControl w:val="0"/>
              <w:spacing w:line="276" w:lineRule="auto"/>
              <w:jc w:val="center"/>
              <w:rPr>
                <w:rFonts w:ascii="Arial" w:eastAsia="Arial" w:hAnsi="Arial" w:cs="Arial"/>
              </w:rPr>
            </w:pPr>
            <w:r>
              <w:rPr>
                <w:rFonts w:ascii="Arial" w:eastAsia="Arial" w:hAnsi="Arial" w:cs="Arial"/>
              </w:rPr>
              <w:t>5</w:t>
            </w:r>
          </w:p>
        </w:tc>
        <w:tc>
          <w:tcPr>
            <w:tcW w:w="1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3" w14:textId="77777777" w:rsidR="00D24D63" w:rsidRDefault="001A3940">
            <w:pPr>
              <w:widowControl w:val="0"/>
              <w:spacing w:line="276" w:lineRule="auto"/>
              <w:jc w:val="center"/>
              <w:rPr>
                <w:rFonts w:ascii="Arial" w:eastAsia="Arial" w:hAnsi="Arial" w:cs="Arial"/>
              </w:rPr>
            </w:pPr>
            <w:r>
              <w:rPr>
                <w:rFonts w:ascii="Arial" w:eastAsia="Arial" w:hAnsi="Arial" w:cs="Arial"/>
              </w:rPr>
              <w:t>3</w:t>
            </w:r>
          </w:p>
        </w:tc>
        <w:tc>
          <w:tcPr>
            <w:tcW w:w="124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4" w14:textId="77777777" w:rsidR="00D24D63" w:rsidRDefault="001A3940">
            <w:pPr>
              <w:widowControl w:val="0"/>
              <w:spacing w:line="276" w:lineRule="auto"/>
              <w:jc w:val="center"/>
              <w:rPr>
                <w:rFonts w:ascii="Arial" w:eastAsia="Arial" w:hAnsi="Arial" w:cs="Arial"/>
              </w:rPr>
            </w:pPr>
            <w:r>
              <w:rPr>
                <w:rFonts w:ascii="Arial" w:eastAsia="Arial" w:hAnsi="Arial" w:cs="Arial"/>
              </w:rPr>
              <w:t>18</w:t>
            </w:r>
          </w:p>
        </w:tc>
        <w:tc>
          <w:tcPr>
            <w:tcW w:w="7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5"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6" w14:textId="77777777" w:rsidR="00D24D63" w:rsidRDefault="001A3940">
            <w:pPr>
              <w:widowControl w:val="0"/>
              <w:spacing w:line="276" w:lineRule="auto"/>
              <w:jc w:val="center"/>
              <w:rPr>
                <w:rFonts w:ascii="Arial" w:eastAsia="Arial" w:hAnsi="Arial" w:cs="Arial"/>
              </w:rPr>
            </w:pPr>
            <w:r>
              <w:rPr>
                <w:rFonts w:ascii="Arial" w:eastAsia="Arial" w:hAnsi="Arial" w:cs="Arial"/>
              </w:rPr>
              <w:t>10</w:t>
            </w:r>
          </w:p>
        </w:tc>
        <w:tc>
          <w:tcPr>
            <w:tcW w:w="121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7" w14:textId="77777777" w:rsidR="00D24D63" w:rsidRDefault="001A3940">
            <w:pPr>
              <w:widowControl w:val="0"/>
              <w:spacing w:line="276" w:lineRule="auto"/>
              <w:jc w:val="center"/>
              <w:rPr>
                <w:rFonts w:ascii="Arial" w:eastAsia="Arial" w:hAnsi="Arial" w:cs="Arial"/>
              </w:rPr>
            </w:pPr>
            <w:r>
              <w:rPr>
                <w:rFonts w:ascii="Arial" w:eastAsia="Arial" w:hAnsi="Arial" w:cs="Arial"/>
              </w:rPr>
              <w:t>5</w:t>
            </w:r>
          </w:p>
        </w:tc>
        <w:tc>
          <w:tcPr>
            <w:tcW w:w="102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B8" w14:textId="77777777" w:rsidR="00D24D63" w:rsidRDefault="001A3940">
            <w:pPr>
              <w:widowControl w:val="0"/>
              <w:spacing w:line="276" w:lineRule="auto"/>
              <w:jc w:val="center"/>
              <w:rPr>
                <w:rFonts w:ascii="Arial" w:eastAsia="Arial" w:hAnsi="Arial" w:cs="Arial"/>
              </w:rPr>
            </w:pPr>
            <w:r>
              <w:rPr>
                <w:rFonts w:ascii="Arial" w:eastAsia="Arial" w:hAnsi="Arial" w:cs="Arial"/>
              </w:rPr>
              <w:t>45</w:t>
            </w:r>
          </w:p>
        </w:tc>
      </w:tr>
      <w:tr w:rsidR="00D24D63" w14:paraId="0C052620" w14:textId="77777777">
        <w:trPr>
          <w:trHeight w:val="300"/>
        </w:trPr>
        <w:tc>
          <w:tcPr>
            <w:tcW w:w="1185"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B9" w14:textId="77777777" w:rsidR="00D24D63" w:rsidRDefault="001A3940">
            <w:pPr>
              <w:widowControl w:val="0"/>
              <w:spacing w:line="276" w:lineRule="auto"/>
              <w:jc w:val="left"/>
              <w:rPr>
                <w:rFonts w:ascii="Arial" w:eastAsia="Arial" w:hAnsi="Arial" w:cs="Arial"/>
              </w:rPr>
            </w:pPr>
            <w:r>
              <w:rPr>
                <w:rFonts w:ascii="Arial" w:eastAsia="Arial" w:hAnsi="Arial" w:cs="Arial"/>
                <w:b/>
                <w:bCs/>
              </w:rPr>
              <w:t>Scalable</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A" w14:textId="77777777" w:rsidR="00D24D63" w:rsidRDefault="001A3940">
            <w:pPr>
              <w:widowControl w:val="0"/>
              <w:spacing w:line="276" w:lineRule="auto"/>
              <w:jc w:val="center"/>
              <w:rPr>
                <w:rFonts w:ascii="Arial" w:eastAsia="Arial" w:hAnsi="Arial" w:cs="Arial"/>
              </w:rPr>
            </w:pPr>
            <w:r>
              <w:rPr>
                <w:rFonts w:ascii="Arial" w:eastAsia="Arial" w:hAnsi="Arial" w:cs="Arial"/>
              </w:rPr>
              <w:t>10</w:t>
            </w:r>
          </w:p>
        </w:tc>
        <w:tc>
          <w:tcPr>
            <w:tcW w:w="1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B" w14:textId="77777777" w:rsidR="00D24D63" w:rsidRDefault="001A3940">
            <w:pPr>
              <w:widowControl w:val="0"/>
              <w:spacing w:line="276" w:lineRule="auto"/>
              <w:jc w:val="center"/>
              <w:rPr>
                <w:rFonts w:ascii="Arial" w:eastAsia="Arial" w:hAnsi="Arial" w:cs="Arial"/>
              </w:rPr>
            </w:pPr>
            <w:r>
              <w:rPr>
                <w:rFonts w:ascii="Arial" w:eastAsia="Arial" w:hAnsi="Arial" w:cs="Arial"/>
              </w:rPr>
              <w:t>6</w:t>
            </w:r>
          </w:p>
        </w:tc>
        <w:tc>
          <w:tcPr>
            <w:tcW w:w="124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C" w14:textId="77777777" w:rsidR="00D24D63" w:rsidRDefault="001A3940">
            <w:pPr>
              <w:widowControl w:val="0"/>
              <w:spacing w:line="276" w:lineRule="auto"/>
              <w:jc w:val="center"/>
              <w:rPr>
                <w:rFonts w:ascii="Arial" w:eastAsia="Arial" w:hAnsi="Arial" w:cs="Arial"/>
              </w:rPr>
            </w:pPr>
            <w:r>
              <w:rPr>
                <w:rFonts w:ascii="Arial" w:eastAsia="Arial" w:hAnsi="Arial" w:cs="Arial"/>
              </w:rPr>
              <w:t>6</w:t>
            </w:r>
          </w:p>
        </w:tc>
        <w:tc>
          <w:tcPr>
            <w:tcW w:w="7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D" w14:textId="77777777" w:rsidR="00D24D63" w:rsidRDefault="001A3940">
            <w:pPr>
              <w:widowControl w:val="0"/>
              <w:spacing w:line="276" w:lineRule="auto"/>
              <w:jc w:val="center"/>
              <w:rPr>
                <w:rFonts w:ascii="Arial" w:eastAsia="Arial" w:hAnsi="Arial" w:cs="Arial"/>
              </w:rPr>
            </w:pPr>
            <w:r>
              <w:rPr>
                <w:rFonts w:ascii="Arial" w:eastAsia="Arial" w:hAnsi="Arial" w:cs="Arial"/>
              </w:rPr>
              <w:t>8</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E" w14:textId="77777777" w:rsidR="00D24D63" w:rsidRDefault="001A3940">
            <w:pPr>
              <w:widowControl w:val="0"/>
              <w:spacing w:line="276" w:lineRule="auto"/>
              <w:jc w:val="center"/>
              <w:rPr>
                <w:rFonts w:ascii="Arial" w:eastAsia="Arial" w:hAnsi="Arial" w:cs="Arial"/>
              </w:rPr>
            </w:pPr>
            <w:r>
              <w:rPr>
                <w:rFonts w:ascii="Arial" w:eastAsia="Arial" w:hAnsi="Arial" w:cs="Arial"/>
              </w:rPr>
              <w:t>16</w:t>
            </w:r>
          </w:p>
        </w:tc>
        <w:tc>
          <w:tcPr>
            <w:tcW w:w="121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BF" w14:textId="77777777" w:rsidR="00D24D63" w:rsidRDefault="001A3940">
            <w:pPr>
              <w:widowControl w:val="0"/>
              <w:spacing w:line="276" w:lineRule="auto"/>
              <w:jc w:val="center"/>
              <w:rPr>
                <w:rFonts w:ascii="Arial" w:eastAsia="Arial" w:hAnsi="Arial" w:cs="Arial"/>
              </w:rPr>
            </w:pPr>
            <w:r>
              <w:rPr>
                <w:rFonts w:ascii="Arial" w:eastAsia="Arial" w:hAnsi="Arial" w:cs="Arial"/>
              </w:rPr>
              <w:t>7</w:t>
            </w:r>
          </w:p>
        </w:tc>
        <w:tc>
          <w:tcPr>
            <w:tcW w:w="102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C0" w14:textId="77777777" w:rsidR="00D24D63" w:rsidRDefault="001A3940">
            <w:pPr>
              <w:widowControl w:val="0"/>
              <w:spacing w:line="276" w:lineRule="auto"/>
              <w:jc w:val="center"/>
              <w:rPr>
                <w:rFonts w:ascii="Arial" w:eastAsia="Arial" w:hAnsi="Arial" w:cs="Arial"/>
              </w:rPr>
            </w:pPr>
            <w:r>
              <w:rPr>
                <w:rFonts w:ascii="Arial" w:eastAsia="Arial" w:hAnsi="Arial" w:cs="Arial"/>
              </w:rPr>
              <w:t>53</w:t>
            </w:r>
          </w:p>
        </w:tc>
      </w:tr>
      <w:tr w:rsidR="00D24D63" w14:paraId="3C945B6A" w14:textId="77777777">
        <w:trPr>
          <w:trHeight w:val="300"/>
        </w:trPr>
        <w:tc>
          <w:tcPr>
            <w:tcW w:w="1185"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C1" w14:textId="77777777" w:rsidR="00D24D63" w:rsidRDefault="001A3940">
            <w:pPr>
              <w:widowControl w:val="0"/>
              <w:spacing w:line="276" w:lineRule="auto"/>
              <w:jc w:val="left"/>
              <w:rPr>
                <w:rFonts w:ascii="Arial" w:eastAsia="Arial" w:hAnsi="Arial" w:cs="Arial"/>
              </w:rPr>
            </w:pPr>
            <w:r>
              <w:rPr>
                <w:rFonts w:ascii="Arial" w:eastAsia="Arial" w:hAnsi="Arial" w:cs="Arial"/>
                <w:b/>
                <w:bCs/>
              </w:rPr>
              <w:t>Limited</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C2"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4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C3"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4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C4"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78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C5"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9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C6"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1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C7"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02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C8"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r>
      <w:tr w:rsidR="00D24D63" w14:paraId="2283B76B" w14:textId="77777777">
        <w:trPr>
          <w:trHeight w:val="300"/>
        </w:trPr>
        <w:tc>
          <w:tcPr>
            <w:tcW w:w="1185" w:type="dxa"/>
            <w:tcBorders>
              <w:top w:val="single" w:sz="6" w:space="0" w:color="CCCCCC"/>
              <w:left w:val="single" w:sz="6" w:space="0" w:color="000000"/>
              <w:bottom w:val="single" w:sz="6" w:space="0" w:color="000000"/>
              <w:right w:val="single" w:sz="6" w:space="0" w:color="CCCCCC"/>
            </w:tcBorders>
            <w:shd w:val="clear" w:color="auto" w:fill="CFE2F3"/>
            <w:tcMar>
              <w:top w:w="0" w:type="dxa"/>
              <w:left w:w="40" w:type="dxa"/>
              <w:bottom w:w="0" w:type="dxa"/>
              <w:right w:w="40" w:type="dxa"/>
            </w:tcMar>
            <w:vAlign w:val="bottom"/>
          </w:tcPr>
          <w:p w14:paraId="000001C9" w14:textId="77777777" w:rsidR="00D24D63" w:rsidRDefault="001A3940">
            <w:pPr>
              <w:widowControl w:val="0"/>
              <w:spacing w:line="276" w:lineRule="auto"/>
              <w:jc w:val="left"/>
              <w:rPr>
                <w:rFonts w:ascii="Arial" w:eastAsia="Arial" w:hAnsi="Arial" w:cs="Arial"/>
              </w:rPr>
            </w:pPr>
            <w:r>
              <w:rPr>
                <w:rFonts w:ascii="Arial" w:eastAsia="Arial" w:hAnsi="Arial" w:cs="Arial"/>
                <w:b/>
                <w:bCs/>
              </w:rPr>
              <w:t>Unclear</w:t>
            </w:r>
          </w:p>
        </w:tc>
        <w:tc>
          <w:tcPr>
            <w:tcW w:w="118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CA"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44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CB"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24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CC"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78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CD"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96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CE"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21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1CF"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1D0"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r>
    </w:tbl>
    <w:p w14:paraId="000001D1" w14:textId="77777777" w:rsidR="00D24D63" w:rsidRDefault="00D24D63"/>
    <w:p w14:paraId="000001D2" w14:textId="77777777" w:rsidR="00D24D63" w:rsidRDefault="001A3940">
      <w:r>
        <w:t>Limited and unclear scalability did not appear as frequently, with only a handful of interventions demonstrating this. This demonstrates that the majority of the interventions currently taking place have the possibility to scale and have an impact on the circular economy on a national scale.</w:t>
      </w:r>
    </w:p>
    <w:p w14:paraId="000001D3" w14:textId="77777777" w:rsidR="00D24D63" w:rsidRDefault="00D24D63"/>
    <w:p w14:paraId="000001D4" w14:textId="3A9F3783" w:rsidR="00D24D63" w:rsidRDefault="001A3940">
      <w:r>
        <w:t xml:space="preserve">Transferability across sectors remains low (Table 5), with 56 of 102 rated interventions identified as highly context specific. This reflects both material and regulatory constraints: methods suited to textiles or packaging rarely apply to construction or transport, where safety standards, asset lifespans, and material properties differ sharply. Many interventions are also designed around consumer-facing behaviours, such as purchasing or disposal, rather than systemic material flows. As a result, they are difficult to translate into industrial or infrastructure settings. The few interventions showing high transferability share certain features. They are built around broad, cross-cutting principles such as repair skills, digital </w:t>
      </w:r>
      <w:r>
        <w:lastRenderedPageBreak/>
        <w:t>tracking of materials, and leasing or sharing models that can be adapted to different value chains with minimal structural change. These approaches offer the greatest potential for scaling circularity across sectors.</w:t>
      </w:r>
    </w:p>
    <w:p w14:paraId="000001D5" w14:textId="77777777" w:rsidR="00D24D63" w:rsidRDefault="00D24D63"/>
    <w:p w14:paraId="000001D6" w14:textId="77777777" w:rsidR="00D24D63" w:rsidRDefault="001A3940">
      <w:pPr>
        <w:rPr>
          <w:i/>
          <w:iCs/>
        </w:rPr>
      </w:pPr>
      <w:r>
        <w:rPr>
          <w:b/>
          <w:bCs/>
          <w:i/>
          <w:iCs/>
        </w:rPr>
        <w:t xml:space="preserve">Table 5. </w:t>
      </w:r>
      <w:r>
        <w:rPr>
          <w:i/>
          <w:iCs/>
        </w:rPr>
        <w:t xml:space="preserve">Total counts of sector transferability per sector </w:t>
      </w:r>
    </w:p>
    <w:tbl>
      <w:tblPr>
        <w:tblStyle w:val="4"/>
        <w:tblW w:w="8985" w:type="dxa"/>
        <w:tblBorders>
          <w:top w:val="nil"/>
          <w:left w:val="nil"/>
          <w:bottom w:val="nil"/>
          <w:right w:val="nil"/>
          <w:insideH w:val="nil"/>
          <w:insideV w:val="nil"/>
        </w:tblBorders>
        <w:tblLayout w:type="fixed"/>
        <w:tblLook w:val="0600" w:firstRow="0" w:lastRow="0" w:firstColumn="0" w:lastColumn="0" w:noHBand="1" w:noVBand="1"/>
      </w:tblPr>
      <w:tblGrid>
        <w:gridCol w:w="1620"/>
        <w:gridCol w:w="1185"/>
        <w:gridCol w:w="1500"/>
        <w:gridCol w:w="1200"/>
        <w:gridCol w:w="540"/>
        <w:gridCol w:w="930"/>
        <w:gridCol w:w="1125"/>
        <w:gridCol w:w="885"/>
      </w:tblGrid>
      <w:tr w:rsidR="00D24D63" w14:paraId="52AD6667" w14:textId="77777777">
        <w:trPr>
          <w:trHeight w:val="300"/>
        </w:trPr>
        <w:tc>
          <w:tcPr>
            <w:tcW w:w="1620" w:type="dxa"/>
            <w:tcBorders>
              <w:top w:val="single" w:sz="6" w:space="0" w:color="000000"/>
              <w:left w:val="single" w:sz="6" w:space="0" w:color="000000"/>
              <w:bottom w:val="single" w:sz="6" w:space="0" w:color="CCCCCC"/>
              <w:right w:val="single" w:sz="6" w:space="0" w:color="CCCCCC"/>
            </w:tcBorders>
            <w:tcMar>
              <w:top w:w="0" w:type="dxa"/>
              <w:left w:w="40" w:type="dxa"/>
              <w:bottom w:w="0" w:type="dxa"/>
              <w:right w:w="40" w:type="dxa"/>
            </w:tcMar>
            <w:vAlign w:val="bottom"/>
          </w:tcPr>
          <w:p w14:paraId="000001D7" w14:textId="77777777" w:rsidR="00D24D63" w:rsidRDefault="00D24D63">
            <w:pPr>
              <w:widowControl w:val="0"/>
              <w:spacing w:line="276" w:lineRule="auto"/>
              <w:jc w:val="left"/>
              <w:rPr>
                <w:rFonts w:ascii="Arial" w:eastAsia="Arial" w:hAnsi="Arial" w:cs="Arial"/>
              </w:rPr>
            </w:pPr>
          </w:p>
        </w:tc>
        <w:tc>
          <w:tcPr>
            <w:tcW w:w="7365" w:type="dxa"/>
            <w:gridSpan w:val="7"/>
            <w:tcBorders>
              <w:top w:val="single" w:sz="6" w:space="0" w:color="000000"/>
              <w:left w:val="single" w:sz="6" w:space="0" w:color="CCCCCC"/>
              <w:bottom w:val="single" w:sz="6" w:space="0" w:color="CCCCCC"/>
              <w:right w:val="single" w:sz="6" w:space="0" w:color="000000"/>
            </w:tcBorders>
            <w:shd w:val="clear" w:color="auto" w:fill="D9D2E9"/>
            <w:tcMar>
              <w:top w:w="0" w:type="dxa"/>
              <w:left w:w="40" w:type="dxa"/>
              <w:bottom w:w="0" w:type="dxa"/>
              <w:right w:w="40" w:type="dxa"/>
            </w:tcMar>
            <w:vAlign w:val="bottom"/>
          </w:tcPr>
          <w:p w14:paraId="000001D8" w14:textId="77777777" w:rsidR="00D24D63" w:rsidRDefault="001A3940">
            <w:pPr>
              <w:widowControl w:val="0"/>
              <w:spacing w:line="276" w:lineRule="auto"/>
              <w:jc w:val="center"/>
              <w:rPr>
                <w:rFonts w:ascii="Arial" w:eastAsia="Arial" w:hAnsi="Arial" w:cs="Arial"/>
              </w:rPr>
            </w:pPr>
            <w:r>
              <w:rPr>
                <w:rFonts w:ascii="Arial" w:eastAsia="Arial" w:hAnsi="Arial" w:cs="Arial"/>
                <w:b/>
                <w:bCs/>
              </w:rPr>
              <w:t>Counts</w:t>
            </w:r>
          </w:p>
        </w:tc>
      </w:tr>
      <w:tr w:rsidR="00D24D63" w14:paraId="613E5934" w14:textId="77777777">
        <w:trPr>
          <w:trHeight w:val="780"/>
        </w:trPr>
        <w:tc>
          <w:tcPr>
            <w:tcW w:w="162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DF" w14:textId="77777777" w:rsidR="00D24D63" w:rsidRDefault="001A3940">
            <w:pPr>
              <w:widowControl w:val="0"/>
              <w:spacing w:line="276" w:lineRule="auto"/>
              <w:jc w:val="left"/>
              <w:rPr>
                <w:rFonts w:ascii="Arial" w:eastAsia="Arial" w:hAnsi="Arial" w:cs="Arial"/>
              </w:rPr>
            </w:pPr>
            <w:r>
              <w:rPr>
                <w:rFonts w:ascii="Arial" w:eastAsia="Arial" w:hAnsi="Arial" w:cs="Arial"/>
                <w:b/>
                <w:bCs/>
              </w:rPr>
              <w:t>Sector Transferability</w:t>
            </w:r>
          </w:p>
        </w:tc>
        <w:tc>
          <w:tcPr>
            <w:tcW w:w="118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E0" w14:textId="77777777" w:rsidR="00D24D63" w:rsidRDefault="001A3940">
            <w:pPr>
              <w:widowControl w:val="0"/>
              <w:spacing w:line="276" w:lineRule="auto"/>
              <w:jc w:val="left"/>
              <w:rPr>
                <w:rFonts w:ascii="Arial" w:eastAsia="Arial" w:hAnsi="Arial" w:cs="Arial"/>
              </w:rPr>
            </w:pPr>
            <w:r>
              <w:rPr>
                <w:rFonts w:ascii="Arial" w:eastAsia="Arial" w:hAnsi="Arial" w:cs="Arial"/>
                <w:b/>
                <w:bCs/>
              </w:rPr>
              <w:t>Agri-Food</w:t>
            </w:r>
          </w:p>
        </w:tc>
        <w:tc>
          <w:tcPr>
            <w:tcW w:w="150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E1" w14:textId="77777777" w:rsidR="00D24D63" w:rsidRDefault="001A3940">
            <w:pPr>
              <w:widowControl w:val="0"/>
              <w:spacing w:line="276" w:lineRule="auto"/>
              <w:jc w:val="left"/>
              <w:rPr>
                <w:rFonts w:ascii="Arial" w:eastAsia="Arial" w:hAnsi="Arial" w:cs="Arial"/>
              </w:rPr>
            </w:pPr>
            <w:r>
              <w:rPr>
                <w:rFonts w:ascii="Arial" w:eastAsia="Arial" w:hAnsi="Arial" w:cs="Arial"/>
                <w:b/>
                <w:bCs/>
              </w:rPr>
              <w:t>Built Environment</w:t>
            </w:r>
          </w:p>
        </w:tc>
        <w:tc>
          <w:tcPr>
            <w:tcW w:w="120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E2" w14:textId="77777777" w:rsidR="00D24D63" w:rsidRDefault="001A3940">
            <w:pPr>
              <w:widowControl w:val="0"/>
              <w:spacing w:line="276" w:lineRule="auto"/>
              <w:jc w:val="left"/>
              <w:rPr>
                <w:rFonts w:ascii="Arial" w:eastAsia="Arial" w:hAnsi="Arial" w:cs="Arial"/>
              </w:rPr>
            </w:pPr>
            <w:r>
              <w:rPr>
                <w:rFonts w:ascii="Arial" w:eastAsia="Arial" w:hAnsi="Arial" w:cs="Arial"/>
                <w:b/>
                <w:bCs/>
              </w:rPr>
              <w:t>Chemicals and Plastics</w:t>
            </w:r>
          </w:p>
        </w:tc>
        <w:tc>
          <w:tcPr>
            <w:tcW w:w="54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E3" w14:textId="77777777" w:rsidR="00D24D63" w:rsidRDefault="001A3940">
            <w:pPr>
              <w:widowControl w:val="0"/>
              <w:spacing w:line="276" w:lineRule="auto"/>
              <w:jc w:val="left"/>
              <w:rPr>
                <w:rFonts w:ascii="Arial" w:eastAsia="Arial" w:hAnsi="Arial" w:cs="Arial"/>
              </w:rPr>
            </w:pPr>
            <w:r>
              <w:rPr>
                <w:rFonts w:ascii="Arial" w:eastAsia="Arial" w:hAnsi="Arial" w:cs="Arial"/>
                <w:b/>
                <w:bCs/>
              </w:rPr>
              <w:t>EEE</w:t>
            </w:r>
          </w:p>
        </w:tc>
        <w:tc>
          <w:tcPr>
            <w:tcW w:w="930"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E4" w14:textId="77777777" w:rsidR="00D24D63" w:rsidRDefault="001A3940">
            <w:pPr>
              <w:widowControl w:val="0"/>
              <w:spacing w:line="276" w:lineRule="auto"/>
              <w:jc w:val="left"/>
              <w:rPr>
                <w:rFonts w:ascii="Arial" w:eastAsia="Arial" w:hAnsi="Arial" w:cs="Arial"/>
              </w:rPr>
            </w:pPr>
            <w:r>
              <w:rPr>
                <w:rFonts w:ascii="Arial" w:eastAsia="Arial" w:hAnsi="Arial" w:cs="Arial"/>
                <w:b/>
                <w:bCs/>
              </w:rPr>
              <w:t>Textiles</w:t>
            </w:r>
          </w:p>
        </w:tc>
        <w:tc>
          <w:tcPr>
            <w:tcW w:w="1125" w:type="dxa"/>
            <w:tcBorders>
              <w:top w:val="single" w:sz="6" w:space="0" w:color="CCCCCC"/>
              <w:left w:val="single" w:sz="6" w:space="0" w:color="CCCCCC"/>
              <w:bottom w:val="single" w:sz="6" w:space="0" w:color="CCCCCC"/>
              <w:right w:val="single" w:sz="6" w:space="0" w:color="CCCCCC"/>
            </w:tcBorders>
            <w:shd w:val="clear" w:color="auto" w:fill="D9D2E9"/>
            <w:tcMar>
              <w:top w:w="0" w:type="dxa"/>
              <w:left w:w="40" w:type="dxa"/>
              <w:bottom w:w="0" w:type="dxa"/>
              <w:right w:w="40" w:type="dxa"/>
            </w:tcMar>
            <w:vAlign w:val="bottom"/>
          </w:tcPr>
          <w:p w14:paraId="000001E5" w14:textId="77777777" w:rsidR="00D24D63" w:rsidRDefault="001A3940">
            <w:pPr>
              <w:widowControl w:val="0"/>
              <w:spacing w:line="276" w:lineRule="auto"/>
              <w:jc w:val="left"/>
              <w:rPr>
                <w:rFonts w:ascii="Arial" w:eastAsia="Arial" w:hAnsi="Arial" w:cs="Arial"/>
              </w:rPr>
            </w:pPr>
            <w:r>
              <w:rPr>
                <w:rFonts w:ascii="Arial" w:eastAsia="Arial" w:hAnsi="Arial" w:cs="Arial"/>
                <w:b/>
                <w:bCs/>
              </w:rPr>
              <w:t>Transport</w:t>
            </w:r>
          </w:p>
        </w:tc>
        <w:tc>
          <w:tcPr>
            <w:tcW w:w="885" w:type="dxa"/>
            <w:tcBorders>
              <w:top w:val="single" w:sz="6" w:space="0" w:color="CCCCCC"/>
              <w:left w:val="single" w:sz="6" w:space="0" w:color="CCCCCC"/>
              <w:bottom w:val="single" w:sz="6" w:space="0" w:color="CCCCCC"/>
              <w:right w:val="single" w:sz="6" w:space="0" w:color="000000"/>
            </w:tcBorders>
            <w:shd w:val="clear" w:color="auto" w:fill="D9D2E9"/>
            <w:tcMar>
              <w:top w:w="0" w:type="dxa"/>
              <w:left w:w="40" w:type="dxa"/>
              <w:bottom w:w="0" w:type="dxa"/>
              <w:right w:w="40" w:type="dxa"/>
            </w:tcMar>
            <w:vAlign w:val="bottom"/>
          </w:tcPr>
          <w:p w14:paraId="000001E6" w14:textId="77777777" w:rsidR="00D24D63" w:rsidRDefault="001A3940">
            <w:pPr>
              <w:widowControl w:val="0"/>
              <w:spacing w:line="276" w:lineRule="auto"/>
              <w:jc w:val="left"/>
              <w:rPr>
                <w:rFonts w:ascii="Arial" w:eastAsia="Arial" w:hAnsi="Arial" w:cs="Arial"/>
              </w:rPr>
            </w:pPr>
            <w:r>
              <w:rPr>
                <w:rFonts w:ascii="Arial" w:eastAsia="Arial" w:hAnsi="Arial" w:cs="Arial"/>
                <w:b/>
                <w:bCs/>
              </w:rPr>
              <w:t>Total</w:t>
            </w:r>
          </w:p>
        </w:tc>
      </w:tr>
      <w:tr w:rsidR="00D24D63" w14:paraId="2FF10D4A" w14:textId="77777777">
        <w:trPr>
          <w:trHeight w:val="300"/>
        </w:trPr>
        <w:tc>
          <w:tcPr>
            <w:tcW w:w="162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E7" w14:textId="77777777" w:rsidR="00D24D63" w:rsidRDefault="001A3940">
            <w:pPr>
              <w:widowControl w:val="0"/>
              <w:spacing w:line="276" w:lineRule="auto"/>
              <w:jc w:val="left"/>
              <w:rPr>
                <w:rFonts w:ascii="Arial" w:eastAsia="Arial" w:hAnsi="Arial" w:cs="Arial"/>
              </w:rPr>
            </w:pPr>
            <w:r>
              <w:rPr>
                <w:rFonts w:ascii="Arial" w:eastAsia="Arial" w:hAnsi="Arial" w:cs="Arial"/>
                <w:b/>
                <w:bCs/>
              </w:rPr>
              <w:t>High</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E8"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E9"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12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EA"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5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EB" w14:textId="77777777" w:rsidR="00D24D63" w:rsidRDefault="001A3940">
            <w:pPr>
              <w:widowControl w:val="0"/>
              <w:spacing w:line="276" w:lineRule="auto"/>
              <w:jc w:val="center"/>
              <w:rPr>
                <w:rFonts w:ascii="Arial" w:eastAsia="Arial" w:hAnsi="Arial" w:cs="Arial"/>
              </w:rPr>
            </w:pPr>
            <w:r>
              <w:rPr>
                <w:rFonts w:ascii="Arial" w:eastAsia="Arial" w:hAnsi="Arial" w:cs="Arial"/>
              </w:rPr>
              <w:t>5</w:t>
            </w:r>
          </w:p>
        </w:tc>
        <w:tc>
          <w:tcPr>
            <w:tcW w:w="9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EC" w14:textId="77777777" w:rsidR="00D24D63" w:rsidRDefault="001A3940">
            <w:pPr>
              <w:widowControl w:val="0"/>
              <w:spacing w:line="276" w:lineRule="auto"/>
              <w:jc w:val="center"/>
              <w:rPr>
                <w:rFonts w:ascii="Arial" w:eastAsia="Arial" w:hAnsi="Arial" w:cs="Arial"/>
              </w:rPr>
            </w:pPr>
            <w:r>
              <w:rPr>
                <w:rFonts w:ascii="Arial" w:eastAsia="Arial" w:hAnsi="Arial" w:cs="Arial"/>
              </w:rPr>
              <w:t>5</w:t>
            </w:r>
          </w:p>
        </w:tc>
        <w:tc>
          <w:tcPr>
            <w:tcW w:w="112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ED"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88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EE" w14:textId="77777777" w:rsidR="00D24D63" w:rsidRDefault="001A3940">
            <w:pPr>
              <w:widowControl w:val="0"/>
              <w:spacing w:line="276" w:lineRule="auto"/>
              <w:jc w:val="center"/>
              <w:rPr>
                <w:rFonts w:ascii="Arial" w:eastAsia="Arial" w:hAnsi="Arial" w:cs="Arial"/>
              </w:rPr>
            </w:pPr>
            <w:r>
              <w:rPr>
                <w:rFonts w:ascii="Arial" w:eastAsia="Arial" w:hAnsi="Arial" w:cs="Arial"/>
              </w:rPr>
              <w:t>16</w:t>
            </w:r>
          </w:p>
        </w:tc>
      </w:tr>
      <w:tr w:rsidR="00D24D63" w14:paraId="4D978ADA" w14:textId="77777777">
        <w:trPr>
          <w:trHeight w:val="300"/>
        </w:trPr>
        <w:tc>
          <w:tcPr>
            <w:tcW w:w="162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EF" w14:textId="77777777" w:rsidR="00D24D63" w:rsidRDefault="001A3940">
            <w:pPr>
              <w:widowControl w:val="0"/>
              <w:spacing w:line="276" w:lineRule="auto"/>
              <w:jc w:val="left"/>
              <w:rPr>
                <w:rFonts w:ascii="Arial" w:eastAsia="Arial" w:hAnsi="Arial" w:cs="Arial"/>
              </w:rPr>
            </w:pPr>
            <w:r>
              <w:rPr>
                <w:rFonts w:ascii="Arial" w:eastAsia="Arial" w:hAnsi="Arial" w:cs="Arial"/>
                <w:b/>
                <w:bCs/>
              </w:rPr>
              <w:t>Medium</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0"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1"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12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2" w14:textId="77777777" w:rsidR="00D24D63" w:rsidRDefault="001A3940">
            <w:pPr>
              <w:widowControl w:val="0"/>
              <w:spacing w:line="276" w:lineRule="auto"/>
              <w:jc w:val="center"/>
              <w:rPr>
                <w:rFonts w:ascii="Arial" w:eastAsia="Arial" w:hAnsi="Arial" w:cs="Arial"/>
              </w:rPr>
            </w:pPr>
            <w:r>
              <w:rPr>
                <w:rFonts w:ascii="Arial" w:eastAsia="Arial" w:hAnsi="Arial" w:cs="Arial"/>
              </w:rPr>
              <w:t>7</w:t>
            </w:r>
          </w:p>
        </w:tc>
        <w:tc>
          <w:tcPr>
            <w:tcW w:w="5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3"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9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4" w14:textId="77777777" w:rsidR="00D24D63" w:rsidRDefault="001A3940">
            <w:pPr>
              <w:widowControl w:val="0"/>
              <w:spacing w:line="276" w:lineRule="auto"/>
              <w:jc w:val="center"/>
              <w:rPr>
                <w:rFonts w:ascii="Arial" w:eastAsia="Arial" w:hAnsi="Arial" w:cs="Arial"/>
              </w:rPr>
            </w:pPr>
            <w:r>
              <w:rPr>
                <w:rFonts w:ascii="Arial" w:eastAsia="Arial" w:hAnsi="Arial" w:cs="Arial"/>
              </w:rPr>
              <w:t>6</w:t>
            </w:r>
          </w:p>
        </w:tc>
        <w:tc>
          <w:tcPr>
            <w:tcW w:w="112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5"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88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F6" w14:textId="77777777" w:rsidR="00D24D63" w:rsidRDefault="001A3940">
            <w:pPr>
              <w:widowControl w:val="0"/>
              <w:spacing w:line="276" w:lineRule="auto"/>
              <w:jc w:val="center"/>
              <w:rPr>
                <w:rFonts w:ascii="Arial" w:eastAsia="Arial" w:hAnsi="Arial" w:cs="Arial"/>
              </w:rPr>
            </w:pPr>
            <w:r>
              <w:rPr>
                <w:rFonts w:ascii="Arial" w:eastAsia="Arial" w:hAnsi="Arial" w:cs="Arial"/>
              </w:rPr>
              <w:t>19</w:t>
            </w:r>
          </w:p>
        </w:tc>
      </w:tr>
      <w:tr w:rsidR="00D24D63" w14:paraId="49B6A529" w14:textId="77777777">
        <w:trPr>
          <w:trHeight w:val="300"/>
        </w:trPr>
        <w:tc>
          <w:tcPr>
            <w:tcW w:w="1620" w:type="dxa"/>
            <w:tcBorders>
              <w:top w:val="single" w:sz="6" w:space="0" w:color="CCCCCC"/>
              <w:left w:val="single" w:sz="6" w:space="0" w:color="000000"/>
              <w:bottom w:val="single" w:sz="6" w:space="0" w:color="CCCCCC"/>
              <w:right w:val="single" w:sz="6" w:space="0" w:color="CCCCCC"/>
            </w:tcBorders>
            <w:shd w:val="clear" w:color="auto" w:fill="CFE2F3"/>
            <w:tcMar>
              <w:top w:w="0" w:type="dxa"/>
              <w:left w:w="40" w:type="dxa"/>
              <w:bottom w:w="0" w:type="dxa"/>
              <w:right w:w="40" w:type="dxa"/>
            </w:tcMar>
            <w:vAlign w:val="bottom"/>
          </w:tcPr>
          <w:p w14:paraId="000001F7" w14:textId="77777777" w:rsidR="00D24D63" w:rsidRDefault="001A3940">
            <w:pPr>
              <w:widowControl w:val="0"/>
              <w:spacing w:line="276" w:lineRule="auto"/>
              <w:jc w:val="left"/>
              <w:rPr>
                <w:rFonts w:ascii="Arial" w:eastAsia="Arial" w:hAnsi="Arial" w:cs="Arial"/>
              </w:rPr>
            </w:pPr>
            <w:r>
              <w:rPr>
                <w:rFonts w:ascii="Arial" w:eastAsia="Arial" w:hAnsi="Arial" w:cs="Arial"/>
                <w:b/>
                <w:bCs/>
              </w:rPr>
              <w:t>Low</w:t>
            </w:r>
          </w:p>
        </w:tc>
        <w:tc>
          <w:tcPr>
            <w:tcW w:w="118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8" w14:textId="77777777" w:rsidR="00D24D63" w:rsidRDefault="001A3940">
            <w:pPr>
              <w:widowControl w:val="0"/>
              <w:spacing w:line="276" w:lineRule="auto"/>
              <w:jc w:val="center"/>
              <w:rPr>
                <w:rFonts w:ascii="Arial" w:eastAsia="Arial" w:hAnsi="Arial" w:cs="Arial"/>
              </w:rPr>
            </w:pPr>
            <w:r>
              <w:rPr>
                <w:rFonts w:ascii="Arial" w:eastAsia="Arial" w:hAnsi="Arial" w:cs="Arial"/>
              </w:rPr>
              <w:t>11</w:t>
            </w:r>
          </w:p>
        </w:tc>
        <w:tc>
          <w:tcPr>
            <w:tcW w:w="15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9"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12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A" w14:textId="77777777" w:rsidR="00D24D63" w:rsidRDefault="001A3940">
            <w:pPr>
              <w:widowControl w:val="0"/>
              <w:spacing w:line="276" w:lineRule="auto"/>
              <w:jc w:val="center"/>
              <w:rPr>
                <w:rFonts w:ascii="Arial" w:eastAsia="Arial" w:hAnsi="Arial" w:cs="Arial"/>
              </w:rPr>
            </w:pPr>
            <w:r>
              <w:rPr>
                <w:rFonts w:ascii="Arial" w:eastAsia="Arial" w:hAnsi="Arial" w:cs="Arial"/>
              </w:rPr>
              <w:t>16</w:t>
            </w:r>
          </w:p>
        </w:tc>
        <w:tc>
          <w:tcPr>
            <w:tcW w:w="5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B"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93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C" w14:textId="77777777" w:rsidR="00D24D63" w:rsidRDefault="001A3940">
            <w:pPr>
              <w:widowControl w:val="0"/>
              <w:spacing w:line="276" w:lineRule="auto"/>
              <w:jc w:val="center"/>
              <w:rPr>
                <w:rFonts w:ascii="Arial" w:eastAsia="Arial" w:hAnsi="Arial" w:cs="Arial"/>
              </w:rPr>
            </w:pPr>
            <w:r>
              <w:rPr>
                <w:rFonts w:ascii="Arial" w:eastAsia="Arial" w:hAnsi="Arial" w:cs="Arial"/>
              </w:rPr>
              <w:t>12</w:t>
            </w:r>
          </w:p>
        </w:tc>
        <w:tc>
          <w:tcPr>
            <w:tcW w:w="112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00001FD" w14:textId="77777777" w:rsidR="00D24D63" w:rsidRDefault="001A3940">
            <w:pPr>
              <w:widowControl w:val="0"/>
              <w:spacing w:line="276" w:lineRule="auto"/>
              <w:jc w:val="center"/>
              <w:rPr>
                <w:rFonts w:ascii="Arial" w:eastAsia="Arial" w:hAnsi="Arial" w:cs="Arial"/>
              </w:rPr>
            </w:pPr>
            <w:r>
              <w:rPr>
                <w:rFonts w:ascii="Arial" w:eastAsia="Arial" w:hAnsi="Arial" w:cs="Arial"/>
              </w:rPr>
              <w:t>11</w:t>
            </w:r>
          </w:p>
        </w:tc>
        <w:tc>
          <w:tcPr>
            <w:tcW w:w="88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000001FE" w14:textId="77777777" w:rsidR="00D24D63" w:rsidRDefault="001A3940">
            <w:pPr>
              <w:widowControl w:val="0"/>
              <w:spacing w:line="276" w:lineRule="auto"/>
              <w:jc w:val="center"/>
              <w:rPr>
                <w:rFonts w:ascii="Arial" w:eastAsia="Arial" w:hAnsi="Arial" w:cs="Arial"/>
              </w:rPr>
            </w:pPr>
            <w:r>
              <w:rPr>
                <w:rFonts w:ascii="Arial" w:eastAsia="Arial" w:hAnsi="Arial" w:cs="Arial"/>
              </w:rPr>
              <w:t>56</w:t>
            </w:r>
          </w:p>
        </w:tc>
      </w:tr>
      <w:tr w:rsidR="00D24D63" w14:paraId="7EEAF92C" w14:textId="77777777">
        <w:trPr>
          <w:trHeight w:val="300"/>
        </w:trPr>
        <w:tc>
          <w:tcPr>
            <w:tcW w:w="1620" w:type="dxa"/>
            <w:tcBorders>
              <w:top w:val="single" w:sz="6" w:space="0" w:color="CCCCCC"/>
              <w:left w:val="single" w:sz="6" w:space="0" w:color="000000"/>
              <w:bottom w:val="single" w:sz="6" w:space="0" w:color="000000"/>
              <w:right w:val="single" w:sz="6" w:space="0" w:color="CCCCCC"/>
            </w:tcBorders>
            <w:shd w:val="clear" w:color="auto" w:fill="CFE2F3"/>
            <w:tcMar>
              <w:top w:w="0" w:type="dxa"/>
              <w:left w:w="40" w:type="dxa"/>
              <w:bottom w:w="0" w:type="dxa"/>
              <w:right w:w="40" w:type="dxa"/>
            </w:tcMar>
            <w:vAlign w:val="bottom"/>
          </w:tcPr>
          <w:p w14:paraId="000001FF" w14:textId="77777777" w:rsidR="00D24D63" w:rsidRDefault="001A3940">
            <w:pPr>
              <w:widowControl w:val="0"/>
              <w:spacing w:line="276" w:lineRule="auto"/>
              <w:jc w:val="left"/>
              <w:rPr>
                <w:rFonts w:ascii="Arial" w:eastAsia="Arial" w:hAnsi="Arial" w:cs="Arial"/>
              </w:rPr>
            </w:pPr>
            <w:r>
              <w:rPr>
                <w:rFonts w:ascii="Arial" w:eastAsia="Arial" w:hAnsi="Arial" w:cs="Arial"/>
                <w:b/>
                <w:bCs/>
              </w:rPr>
              <w:t>Unclear</w:t>
            </w:r>
          </w:p>
        </w:tc>
        <w:tc>
          <w:tcPr>
            <w:tcW w:w="118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200" w14:textId="77777777" w:rsidR="00D24D63" w:rsidRDefault="001A3940">
            <w:pPr>
              <w:widowControl w:val="0"/>
              <w:spacing w:line="276" w:lineRule="auto"/>
              <w:jc w:val="center"/>
              <w:rPr>
                <w:rFonts w:ascii="Arial" w:eastAsia="Arial" w:hAnsi="Arial" w:cs="Arial"/>
              </w:rPr>
            </w:pPr>
            <w:r>
              <w:rPr>
                <w:rFonts w:ascii="Arial" w:eastAsia="Arial" w:hAnsi="Arial" w:cs="Arial"/>
              </w:rPr>
              <w:t>2</w:t>
            </w:r>
          </w:p>
        </w:tc>
        <w:tc>
          <w:tcPr>
            <w:tcW w:w="150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201" w14:textId="77777777" w:rsidR="00D24D63" w:rsidRDefault="001A3940">
            <w:pPr>
              <w:widowControl w:val="0"/>
              <w:spacing w:line="276" w:lineRule="auto"/>
              <w:jc w:val="center"/>
              <w:rPr>
                <w:rFonts w:ascii="Arial" w:eastAsia="Arial" w:hAnsi="Arial" w:cs="Arial"/>
              </w:rPr>
            </w:pPr>
            <w:r>
              <w:rPr>
                <w:rFonts w:ascii="Arial" w:eastAsia="Arial" w:hAnsi="Arial" w:cs="Arial"/>
              </w:rPr>
              <w:t>1</w:t>
            </w:r>
          </w:p>
        </w:tc>
        <w:tc>
          <w:tcPr>
            <w:tcW w:w="120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202"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54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203"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930"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204" w14:textId="77777777" w:rsidR="00D24D63" w:rsidRDefault="001A3940">
            <w:pPr>
              <w:widowControl w:val="0"/>
              <w:spacing w:line="276" w:lineRule="auto"/>
              <w:jc w:val="center"/>
              <w:rPr>
                <w:rFonts w:ascii="Arial" w:eastAsia="Arial" w:hAnsi="Arial" w:cs="Arial"/>
              </w:rPr>
            </w:pPr>
            <w:r>
              <w:rPr>
                <w:rFonts w:ascii="Arial" w:eastAsia="Arial" w:hAnsi="Arial" w:cs="Arial"/>
              </w:rPr>
              <w:t>4</w:t>
            </w:r>
          </w:p>
        </w:tc>
        <w:tc>
          <w:tcPr>
            <w:tcW w:w="1125" w:type="dxa"/>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14:paraId="00000205" w14:textId="77777777" w:rsidR="00D24D63" w:rsidRDefault="001A3940">
            <w:pPr>
              <w:widowControl w:val="0"/>
              <w:spacing w:line="276" w:lineRule="auto"/>
              <w:jc w:val="center"/>
              <w:rPr>
                <w:rFonts w:ascii="Arial" w:eastAsia="Arial" w:hAnsi="Arial" w:cs="Arial"/>
              </w:rPr>
            </w:pPr>
            <w:r>
              <w:rPr>
                <w:rFonts w:ascii="Arial" w:eastAsia="Arial" w:hAnsi="Arial" w:cs="Arial"/>
              </w:rPr>
              <w:t>0</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206" w14:textId="77777777" w:rsidR="00D24D63" w:rsidRDefault="001A3940">
            <w:pPr>
              <w:widowControl w:val="0"/>
              <w:spacing w:line="276" w:lineRule="auto"/>
              <w:jc w:val="center"/>
              <w:rPr>
                <w:rFonts w:ascii="Arial" w:eastAsia="Arial" w:hAnsi="Arial" w:cs="Arial"/>
              </w:rPr>
            </w:pPr>
            <w:r>
              <w:rPr>
                <w:rFonts w:ascii="Arial" w:eastAsia="Arial" w:hAnsi="Arial" w:cs="Arial"/>
              </w:rPr>
              <w:t>11</w:t>
            </w:r>
          </w:p>
        </w:tc>
      </w:tr>
    </w:tbl>
    <w:p w14:paraId="00000207" w14:textId="77777777" w:rsidR="00D24D63" w:rsidRDefault="00D24D63"/>
    <w:p w14:paraId="00000208" w14:textId="77777777" w:rsidR="00D24D63" w:rsidRDefault="001A3940">
      <w:r>
        <w:t>Taken together, the interventions identified suggest that the UK’s circular economy transition is fragmented but advancing, dominated by pragmatic and commercially viable actions rather than radical redesign. Mature sectors are improving efficiency within existing models, while heavier industrial sectors remain in earlier stages of experimentation. Across all sectors, there is a lack of mid-stage innovation bridging early research and market entry, visible in the near absence of pre-commercial interventions. This gap indicates a need for more structured pathways from pilot to deployment, possibly through targeted funding or procurement incentives.</w:t>
      </w:r>
    </w:p>
    <w:p w14:paraId="00000209" w14:textId="77777777" w:rsidR="00D24D63" w:rsidRDefault="00D24D63"/>
    <w:p w14:paraId="0000020A" w14:textId="77777777" w:rsidR="00D24D63" w:rsidRDefault="001A3940">
      <w:pPr>
        <w:pStyle w:val="Heading3"/>
      </w:pPr>
      <w:bookmarkStart w:id="20" w:name="_heading=h.d5kja4dw1b1h" w:colFirst="0" w:colLast="0"/>
      <w:bookmarkEnd w:id="20"/>
      <w:r>
        <w:t>3.2.2 Common gaps in evidence</w:t>
      </w:r>
    </w:p>
    <w:p w14:paraId="0000020B" w14:textId="77777777" w:rsidR="00D24D63" w:rsidRDefault="00D24D63"/>
    <w:p w14:paraId="0000020C" w14:textId="77777777" w:rsidR="00D24D63" w:rsidRDefault="001A3940">
      <w:r>
        <w:t>Evidence gaps appeared consistently in higher-order Rs (Refuse, Repair, Refurbish, Remanufacture), particularly where systemic or technical barriers restrict experimentation (Table 6). It is important to note that although no evidence was found for some sector–R combinations, this does not mean that such interventions do not exist. The mapping was a rapid scoping exercise, and some examples may not have been captured within the search timeframe or available literature. Nonetheless, the observed gaps indicate where activity is least visible or where innovation is not yet being documented in publicly accessible sources.</w:t>
      </w:r>
    </w:p>
    <w:p w14:paraId="0000020D" w14:textId="77777777" w:rsidR="00D24D63" w:rsidRDefault="00D24D63">
      <w:pPr>
        <w:rPr>
          <w:i/>
          <w:iCs/>
        </w:rPr>
      </w:pPr>
    </w:p>
    <w:p w14:paraId="0000020E" w14:textId="77777777" w:rsidR="00D24D63" w:rsidRDefault="001A3940">
      <w:pPr>
        <w:rPr>
          <w:i/>
          <w:iCs/>
        </w:rPr>
      </w:pPr>
      <w:r>
        <w:rPr>
          <w:b/>
          <w:bCs/>
          <w:i/>
          <w:iCs/>
        </w:rPr>
        <w:t xml:space="preserve">Table 6. </w:t>
      </w:r>
      <w:r>
        <w:rPr>
          <w:i/>
          <w:iCs/>
        </w:rPr>
        <w:t>Summary of evidence gaps by sector</w:t>
      </w:r>
    </w:p>
    <w:tbl>
      <w:tblPr>
        <w:tblStyle w:val="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6915"/>
      </w:tblGrid>
      <w:tr w:rsidR="00D24D63" w14:paraId="176600AD" w14:textId="77777777">
        <w:tc>
          <w:tcPr>
            <w:tcW w:w="2085" w:type="dxa"/>
            <w:tcBorders>
              <w:top w:val="single" w:sz="8" w:space="0" w:color="D9D9D9"/>
              <w:left w:val="single" w:sz="8" w:space="0" w:color="D9D9D9"/>
              <w:bottom w:val="single" w:sz="8" w:space="0" w:color="D9D9D9"/>
              <w:right w:val="single" w:sz="8" w:space="0" w:color="D9D9D9"/>
            </w:tcBorders>
            <w:shd w:val="clear" w:color="auto" w:fill="D0E0E3"/>
            <w:tcMar>
              <w:top w:w="100" w:type="dxa"/>
              <w:left w:w="100" w:type="dxa"/>
              <w:bottom w:w="100" w:type="dxa"/>
              <w:right w:w="100" w:type="dxa"/>
            </w:tcMar>
          </w:tcPr>
          <w:p w14:paraId="0000020F" w14:textId="0FAABFED" w:rsidR="00D24D63" w:rsidRDefault="001A3940">
            <w:pPr>
              <w:widowControl w:val="0"/>
              <w:pBdr>
                <w:top w:val="nil"/>
                <w:left w:val="nil"/>
                <w:bottom w:val="nil"/>
                <w:right w:val="nil"/>
                <w:between w:val="nil"/>
              </w:pBdr>
              <w:spacing w:line="240" w:lineRule="auto"/>
              <w:jc w:val="left"/>
              <w:rPr>
                <w:b/>
                <w:bCs/>
                <w:sz w:val="20"/>
                <w:szCs w:val="20"/>
              </w:rPr>
            </w:pPr>
            <w:r>
              <w:rPr>
                <w:b/>
                <w:bCs/>
                <w:sz w:val="20"/>
                <w:szCs w:val="20"/>
              </w:rPr>
              <w:t>Sector</w:t>
            </w:r>
          </w:p>
        </w:tc>
        <w:tc>
          <w:tcPr>
            <w:tcW w:w="6915" w:type="dxa"/>
            <w:tcBorders>
              <w:top w:val="single" w:sz="8" w:space="0" w:color="D9D9D9"/>
              <w:left w:val="single" w:sz="8" w:space="0" w:color="D9D9D9"/>
              <w:bottom w:val="single" w:sz="8" w:space="0" w:color="D9D9D9"/>
              <w:right w:val="single" w:sz="8" w:space="0" w:color="D9D9D9"/>
            </w:tcBorders>
            <w:shd w:val="clear" w:color="auto" w:fill="D0E0E3"/>
            <w:tcMar>
              <w:top w:w="100" w:type="dxa"/>
              <w:left w:w="100" w:type="dxa"/>
              <w:bottom w:w="100" w:type="dxa"/>
              <w:right w:w="100" w:type="dxa"/>
            </w:tcMar>
          </w:tcPr>
          <w:p w14:paraId="00000210" w14:textId="77777777" w:rsidR="00D24D63" w:rsidRDefault="001A3940">
            <w:pPr>
              <w:widowControl w:val="0"/>
              <w:pBdr>
                <w:top w:val="nil"/>
                <w:left w:val="nil"/>
                <w:bottom w:val="nil"/>
                <w:right w:val="nil"/>
                <w:between w:val="nil"/>
              </w:pBdr>
              <w:spacing w:line="240" w:lineRule="auto"/>
              <w:jc w:val="left"/>
              <w:rPr>
                <w:b/>
                <w:bCs/>
                <w:sz w:val="20"/>
                <w:szCs w:val="20"/>
              </w:rPr>
            </w:pPr>
            <w:r>
              <w:rPr>
                <w:b/>
                <w:bCs/>
                <w:sz w:val="20"/>
                <w:szCs w:val="20"/>
              </w:rPr>
              <w:t>Summary of gaps / observations</w:t>
            </w:r>
          </w:p>
        </w:tc>
      </w:tr>
      <w:tr w:rsidR="00D24D63" w14:paraId="3F34B1B5" w14:textId="77777777">
        <w:tc>
          <w:tcPr>
            <w:tcW w:w="20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1"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Agri-food</w:t>
            </w:r>
          </w:p>
        </w:tc>
        <w:tc>
          <w:tcPr>
            <w:tcW w:w="691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2"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Most activity focuses on reducing food waste or packaging. Very little targets repair or remanufacture, which are less applicable to consumable products. Opportunities may lie instead in equipment reuse and nutrient cycling, which remain underexplored.</w:t>
            </w:r>
          </w:p>
        </w:tc>
      </w:tr>
      <w:tr w:rsidR="00D24D63" w14:paraId="639243D2" w14:textId="77777777">
        <w:tc>
          <w:tcPr>
            <w:tcW w:w="20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3"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Built environment</w:t>
            </w:r>
          </w:p>
        </w:tc>
        <w:tc>
          <w:tcPr>
            <w:tcW w:w="691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4"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Absence of refuse, repurpose, and recycle examples suggests that policy and funding continue to prioritise energy efficiency over material circularity. The sector’s scale and inertia also limit experimentation at higher Rs.</w:t>
            </w:r>
          </w:p>
        </w:tc>
      </w:tr>
      <w:tr w:rsidR="00D24D63" w14:paraId="7D40ABAC" w14:textId="77777777">
        <w:tc>
          <w:tcPr>
            <w:tcW w:w="20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5"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Chemicals and plastics</w:t>
            </w:r>
          </w:p>
        </w:tc>
        <w:tc>
          <w:tcPr>
            <w:tcW w:w="691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6"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 xml:space="preserve">Despite high overall activity, few examples relate to repair, refurbish, or remanufacture, as these Rs translate poorly to chemical processes. </w:t>
            </w:r>
            <w:r>
              <w:rPr>
                <w:sz w:val="20"/>
                <w:szCs w:val="20"/>
              </w:rPr>
              <w:lastRenderedPageBreak/>
              <w:t>Innovation gaps lie in de-fossilised feedstocks and process redesign, both of which remain early-stage.</w:t>
            </w:r>
          </w:p>
        </w:tc>
      </w:tr>
      <w:tr w:rsidR="00D24D63" w14:paraId="3506E444" w14:textId="77777777">
        <w:tc>
          <w:tcPr>
            <w:tcW w:w="20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7"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lastRenderedPageBreak/>
              <w:t>EEE</w:t>
            </w:r>
          </w:p>
        </w:tc>
        <w:tc>
          <w:tcPr>
            <w:tcW w:w="691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8"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Refuse and remanufacture are underrepresented. This reflects the imbalance between low product prices and high repair costs, which discourages upstream waste prevention and design for disassembly.</w:t>
            </w:r>
          </w:p>
        </w:tc>
      </w:tr>
      <w:tr w:rsidR="00D24D63" w14:paraId="646FC511" w14:textId="77777777">
        <w:tc>
          <w:tcPr>
            <w:tcW w:w="20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9"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Transport</w:t>
            </w:r>
          </w:p>
        </w:tc>
        <w:tc>
          <w:tcPr>
            <w:tcW w:w="691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A"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Gaps in refuse and reduce reflect the sector’s dependence on long-lived assets and strict regulatory requirements, which make radical material reduction or substitution difficult.</w:t>
            </w:r>
          </w:p>
        </w:tc>
      </w:tr>
      <w:tr w:rsidR="00D24D63" w14:paraId="2EE7F824" w14:textId="77777777">
        <w:tc>
          <w:tcPr>
            <w:tcW w:w="208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B" w14:textId="77777777" w:rsidR="00D24D63" w:rsidRDefault="001A3940">
            <w:pPr>
              <w:widowControl w:val="0"/>
              <w:pBdr>
                <w:top w:val="nil"/>
                <w:left w:val="nil"/>
                <w:bottom w:val="nil"/>
                <w:right w:val="nil"/>
                <w:between w:val="nil"/>
              </w:pBdr>
              <w:spacing w:line="240" w:lineRule="auto"/>
              <w:jc w:val="left"/>
              <w:rPr>
                <w:sz w:val="20"/>
                <w:szCs w:val="20"/>
              </w:rPr>
            </w:pPr>
            <w:r>
              <w:rPr>
                <w:sz w:val="20"/>
                <w:szCs w:val="20"/>
              </w:rPr>
              <w:t>Textiles</w:t>
            </w:r>
          </w:p>
        </w:tc>
        <w:tc>
          <w:tcPr>
            <w:tcW w:w="691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000021C" w14:textId="5E376F03" w:rsidR="00D24D63" w:rsidRDefault="001A3940">
            <w:pPr>
              <w:widowControl w:val="0"/>
              <w:pBdr>
                <w:top w:val="nil"/>
                <w:left w:val="nil"/>
                <w:bottom w:val="nil"/>
                <w:right w:val="nil"/>
                <w:between w:val="nil"/>
              </w:pBdr>
              <w:spacing w:line="240" w:lineRule="auto"/>
              <w:jc w:val="left"/>
              <w:rPr>
                <w:sz w:val="20"/>
                <w:szCs w:val="20"/>
              </w:rPr>
            </w:pPr>
            <w:r>
              <w:rPr>
                <w:sz w:val="20"/>
                <w:szCs w:val="20"/>
              </w:rPr>
              <w:t>Though well represented overall, upstream innovation is limited. Most interventions occur at the user end of the chain (reuse, resale, repair), with few addressing fibre recovery or remanufacture.</w:t>
            </w:r>
          </w:p>
        </w:tc>
      </w:tr>
    </w:tbl>
    <w:p w14:paraId="0000021D" w14:textId="77777777" w:rsidR="00D24D63" w:rsidRDefault="00D24D63"/>
    <w:p w14:paraId="0000021E" w14:textId="649C7C4B" w:rsidR="00D24D63" w:rsidRDefault="001A3940">
      <w:r>
        <w:t>Across all sectors, gaps tend to occur where circularity requires system-level coordination (such as shared infrastructure, data transparency, or policy integration) rather than individual organisational action. Many of the missing Rs also correspond to areas where the economic incentive for change is weak, or where interventions are more behavioural than technological and therefore less likely to appear in formal evidence sources.</w:t>
      </w:r>
    </w:p>
    <w:p w14:paraId="0000021F" w14:textId="77777777" w:rsidR="00D24D63" w:rsidRDefault="00D24D63"/>
    <w:p w14:paraId="00000220" w14:textId="77777777" w:rsidR="00D24D63" w:rsidRDefault="001A3940">
      <w:pPr>
        <w:pStyle w:val="Heading1"/>
      </w:pPr>
      <w:bookmarkStart w:id="21" w:name="_heading=h.rv5wf4qhah1v" w:colFirst="0" w:colLast="0"/>
      <w:bookmarkEnd w:id="21"/>
      <w:r>
        <w:t>4. Limitations</w:t>
      </w:r>
    </w:p>
    <w:p w14:paraId="00000221" w14:textId="77777777" w:rsidR="00D24D63" w:rsidRDefault="001A3940">
      <w:pPr>
        <w:spacing w:after="200"/>
      </w:pPr>
      <w:r>
        <w:t>A number of limitations we identified during the mapping, analysis and associated research that should be considered when interpreting the results:</w:t>
      </w:r>
    </w:p>
    <w:p w14:paraId="00000222" w14:textId="77777777" w:rsidR="00D24D63" w:rsidRDefault="001A3940">
      <w:pPr>
        <w:numPr>
          <w:ilvl w:val="0"/>
          <w:numId w:val="13"/>
        </w:numPr>
        <w:spacing w:after="200"/>
        <w:ind w:left="425"/>
      </w:pPr>
      <w:r>
        <w:rPr>
          <w:b/>
          <w:bCs/>
        </w:rPr>
        <w:t xml:space="preserve">Evidence availability is uneven across sectors and Rs. </w:t>
      </w:r>
      <w:r>
        <w:t>Some sectors and Rs are well documented, such as reduce in packaging, while others have little publicly available evidence (such as refurbish in construction materials). This was mitigated by recording absences explicitly as gaps, making them visible in the outputs rather than omitted.</w:t>
      </w:r>
    </w:p>
    <w:p w14:paraId="00000223" w14:textId="77777777" w:rsidR="00D24D63" w:rsidRDefault="001A3940">
      <w:pPr>
        <w:numPr>
          <w:ilvl w:val="0"/>
          <w:numId w:val="13"/>
        </w:numPr>
        <w:spacing w:after="200"/>
        <w:ind w:left="425"/>
      </w:pPr>
      <w:r>
        <w:rPr>
          <w:b/>
          <w:bCs/>
        </w:rPr>
        <w:t>The categorisation of interventions involves some interpretive judgement.</w:t>
      </w:r>
      <w:r>
        <w:t xml:space="preserve"> Several interventions could reasonably fit across multiple Rs or sectors (for example, between reuse and refurbish, or agri-food and packaging). In these cases, classification relied on the dominant focus described in the source, meaning some overlap or ambiguity is inevitable despite consistent application of definitions.</w:t>
      </w:r>
    </w:p>
    <w:p w14:paraId="00000224" w14:textId="77777777" w:rsidR="00D24D63" w:rsidRDefault="001A3940">
      <w:pPr>
        <w:numPr>
          <w:ilvl w:val="0"/>
          <w:numId w:val="13"/>
        </w:numPr>
        <w:spacing w:after="200"/>
        <w:ind w:left="425"/>
      </w:pPr>
      <w:r>
        <w:rPr>
          <w:b/>
          <w:bCs/>
        </w:rPr>
        <w:t>The short delivery window restricts the depth of review.</w:t>
      </w:r>
      <w:r>
        <w:t xml:space="preserve"> The 8-week timescale limits the breadth and depth of searching, meaning this is a rapid scoping rather than a systematic assessment.</w:t>
      </w:r>
    </w:p>
    <w:p w14:paraId="00000225" w14:textId="77777777" w:rsidR="00D24D63" w:rsidRDefault="001A3940">
      <w:pPr>
        <w:numPr>
          <w:ilvl w:val="0"/>
          <w:numId w:val="13"/>
        </w:numPr>
        <w:spacing w:after="200"/>
        <w:ind w:left="425"/>
      </w:pPr>
      <w:r>
        <w:rPr>
          <w:b/>
          <w:bCs/>
        </w:rPr>
        <w:t>The use of AI-assisted searches improves efficiency but has inherent limitations.</w:t>
      </w:r>
      <w:r>
        <w:t xml:space="preserve"> AI tools may not capture all relevant material, particularly in specialist or paywalled databases, and may introduce bias depending on how parameters are set. To address this, complementary manual searches were conducted, and sector-specific repositories (such as industry reports and proprietary databases where access was available) were reviewed manually in full. All evidence identified through AI was verified directly before inclusion, with manual entry into the framework ensuring interventions are consistently read, coded, and checked. Blended approaches such as this balance speed with reliability while maintaining transparency on the method used.</w:t>
      </w:r>
    </w:p>
    <w:p w14:paraId="00000226" w14:textId="77777777" w:rsidR="00D24D63" w:rsidRDefault="001A3940">
      <w:pPr>
        <w:numPr>
          <w:ilvl w:val="0"/>
          <w:numId w:val="13"/>
        </w:numPr>
        <w:spacing w:after="200"/>
        <w:ind w:left="425"/>
      </w:pPr>
      <w:r>
        <w:rPr>
          <w:b/>
          <w:bCs/>
        </w:rPr>
        <w:lastRenderedPageBreak/>
        <w:t>The availability of impact evidence remains limited.</w:t>
      </w:r>
      <w:r>
        <w:t xml:space="preserve"> Many interventions, particularly pilot and small-scale trials, lacked robust evaluation data. As a result, evidence of measurable environmental or material outcomes remains partial, and effectiveness is often inferred rather than demonstrated.</w:t>
      </w:r>
    </w:p>
    <w:p w14:paraId="00000227" w14:textId="77777777" w:rsidR="00D24D63" w:rsidRDefault="001A3940">
      <w:pPr>
        <w:numPr>
          <w:ilvl w:val="0"/>
          <w:numId w:val="13"/>
        </w:numPr>
        <w:spacing w:after="200"/>
        <w:ind w:left="425"/>
      </w:pPr>
      <w:r>
        <w:rPr>
          <w:b/>
          <w:bCs/>
        </w:rPr>
        <w:t>Assessments of transferability are partly interpretive.</w:t>
      </w:r>
      <w:r>
        <w:t xml:space="preserve"> Evidence rarely tests transferability across sectors, and the timescale did not allow for detailed research into transferability, so judgements are based on plausibility rather than proven outcomes. This was mitigated by coding transferability cautiously and clearly distinguishing tested evidence from assumptions.</w:t>
      </w:r>
    </w:p>
    <w:p w14:paraId="00000228" w14:textId="77777777" w:rsidR="00D24D63" w:rsidRDefault="001A3940">
      <w:pPr>
        <w:numPr>
          <w:ilvl w:val="0"/>
          <w:numId w:val="13"/>
        </w:numPr>
        <w:spacing w:after="200"/>
        <w:ind w:left="425"/>
      </w:pPr>
      <w:r>
        <w:rPr>
          <w:b/>
          <w:bCs/>
        </w:rPr>
        <w:t xml:space="preserve">The quality and comparability of sources vary considerably. </w:t>
      </w:r>
      <w:r>
        <w:t>Academic studies often provide robust data, while grey literature and industry reports may be anecdotal or lack metrics. This was mitigated by using a trusted strength of evidence rating to indicate confidence in the evidence base for each intervention.</w:t>
      </w:r>
    </w:p>
    <w:p w14:paraId="00000229" w14:textId="4F090D4D" w:rsidR="00D24D63" w:rsidRDefault="001A3940">
      <w:pPr>
        <w:pStyle w:val="Heading1"/>
        <w:spacing w:after="200"/>
      </w:pPr>
      <w:bookmarkStart w:id="22" w:name="_heading=h.m9m9flqcdob5" w:colFirst="0" w:colLast="0"/>
      <w:bookmarkEnd w:id="22"/>
      <w:r>
        <w:t>5. Opportunities and Recommendations</w:t>
      </w:r>
    </w:p>
    <w:p w14:paraId="0000022A" w14:textId="77777777" w:rsidR="00D24D63" w:rsidRDefault="001A3940">
      <w:r>
        <w:t>The mapping highlights a circular economy landscape that is active but fragmented, dominated by consumer-facing and downstream interventions rather than systemic shifts in production, material use, and infrastructure. Most current activity focuses on redesigning products and packaging, or on segmented reuse and repair models within established value chains, reflecting a maturing commercial environment but not yet a transformative one that adopts changes that apply to the whole value chain (Global Plastics Policy Centre, 2024b; UNEP, 2023). The following opportunities identify where progress could be deepened and aligned to the more systemic changes needed to deliver a circular economy.</w:t>
      </w:r>
    </w:p>
    <w:p w14:paraId="0000022B" w14:textId="77777777" w:rsidR="00D24D63" w:rsidRDefault="00D24D63"/>
    <w:p w14:paraId="0000022C" w14:textId="0A0B4B6B" w:rsidR="00D24D63" w:rsidRDefault="001A3940">
      <w:pPr>
        <w:numPr>
          <w:ilvl w:val="0"/>
          <w:numId w:val="20"/>
        </w:numPr>
        <w:spacing w:after="200"/>
        <w:ind w:left="425"/>
      </w:pPr>
      <w:r>
        <w:rPr>
          <w:b/>
          <w:bCs/>
        </w:rPr>
        <w:t xml:space="preserve">Strengthen upstream drivers of circularity. </w:t>
      </w:r>
      <w:r>
        <w:t>Across all sectors, most activity targets mid- or down-stream circularity rather than earlier interventions that prevent waste generation altogether. The evidence shows very few initiatives tackling material innovation, production processes, systems level reuse operations, or design for disassembly, even in resource-intensive sectors such as construction, chemicals, and agri-food. Strengthening upstream interventions would help address material use before products reach the market, reducing dependency on downstream efficiency measures. Expanding support for redesign, modular manufacturing, and design-stage traceability could enable circularity to be embedded earlier in product lifecycles, where the greatest potential resource savings lie. Future research could explore how resource efficiency measures interact with higher-order Rs, particularly in sectors where circularity remains constrained by technical or regulatory barriers, such as construction or transport.</w:t>
      </w:r>
    </w:p>
    <w:p w14:paraId="0000022D" w14:textId="11EA969D" w:rsidR="00D24D63" w:rsidRDefault="007B63A9">
      <w:pPr>
        <w:numPr>
          <w:ilvl w:val="0"/>
          <w:numId w:val="20"/>
        </w:numPr>
        <w:spacing w:after="200"/>
        <w:ind w:left="425"/>
      </w:pPr>
      <w:r w:rsidRPr="007B63A9">
        <w:rPr>
          <w:b/>
          <w:bCs/>
        </w:rPr>
        <w:t xml:space="preserve">Strengthen resource efficiency and material productivity </w:t>
      </w:r>
      <w:r w:rsidR="001A3940">
        <w:rPr>
          <w:b/>
          <w:bCs/>
        </w:rPr>
        <w:t>within circular economy strategies.</w:t>
      </w:r>
      <w:r w:rsidR="001A3940">
        <w:t xml:space="preserve"> Most circular economy activity in the UK focuses on keeping materials in use for longer rather than reducing how much is produced in the first place. The evidence shows few examples of measures that aim to slow overall material throughput, and these approaches remain limited partly because current incentives and metrics still reward recycling and material recovery rather than reduced input. </w:t>
      </w:r>
      <w:r w:rsidRPr="007B63A9">
        <w:t xml:space="preserve">Shifting emphasis toward resource efficiency and secondary material use would enhance economic productivity </w:t>
      </w:r>
      <w:r w:rsidRPr="007B63A9">
        <w:lastRenderedPageBreak/>
        <w:t>while limiting the need for primary extraction. This includes promoting circular business models such as repair, refurbishment, and remanufacture that maintain economic activity and employment without increasing material throughput. Building domestic capability for these</w:t>
      </w:r>
      <w:r>
        <w:t xml:space="preserve"> higher-R</w:t>
      </w:r>
      <w:r w:rsidRPr="007B63A9">
        <w:t xml:space="preserve"> activities</w:t>
      </w:r>
      <w:r>
        <w:t xml:space="preserve">, </w:t>
      </w:r>
      <w:r w:rsidRPr="007B63A9">
        <w:t>particularly in sectors with high import dependency such as textiles</w:t>
      </w:r>
      <w:r>
        <w:t xml:space="preserve">, </w:t>
      </w:r>
      <w:r w:rsidRPr="007B63A9">
        <w:t>offers opportunities for value creation and resilience through reuse, repair, and recycling infrastructure.</w:t>
      </w:r>
    </w:p>
    <w:p w14:paraId="0000022E" w14:textId="77777777" w:rsidR="00D24D63" w:rsidRDefault="001A3940">
      <w:pPr>
        <w:numPr>
          <w:ilvl w:val="0"/>
          <w:numId w:val="20"/>
        </w:numPr>
        <w:spacing w:after="200"/>
        <w:ind w:left="425"/>
      </w:pPr>
      <w:r>
        <w:rPr>
          <w:b/>
          <w:bCs/>
        </w:rPr>
        <w:t xml:space="preserve">Bridge the gap between pilot and commercial deployment. </w:t>
      </w:r>
      <w:r>
        <w:t>The analysis shows very few pre-commercial interventions, indicating that early-stage research is not being adequately translated into market-ready solutions. Mechanisms that bridge this gap through blended finance, procurement commitments, and partnership between public and private actors could accelerate the scaling of high-potential innovations, such as deposit return infrastructure or remanufacture systems (Northen et al., 2023).</w:t>
      </w:r>
    </w:p>
    <w:p w14:paraId="0000022F" w14:textId="77777777" w:rsidR="00D24D63" w:rsidRDefault="001A3940">
      <w:pPr>
        <w:numPr>
          <w:ilvl w:val="0"/>
          <w:numId w:val="20"/>
        </w:numPr>
        <w:spacing w:after="200"/>
        <w:ind w:left="425"/>
      </w:pPr>
      <w:r>
        <w:rPr>
          <w:b/>
          <w:bCs/>
        </w:rPr>
        <w:t xml:space="preserve">Scale up reuse systems as a priority pathway for waste reduction. </w:t>
      </w:r>
      <w:r>
        <w:t>Reuse offers one of the most direct and proven routes to reducing waste and emissions, particularly in packaging (Global Plastics Policy Centre, 2023; Ellen MacArthur Foundation, 2025). Despite growing evidence of environmental and economic benefits, progress remains slow due to fragmented infrastructure, lack of national standards, and limited policy alignment (Awino &amp; Apitz, 2024). Research shows that reuse systems achieve the greatest impact when designed for interoperability and supported by clear regulatory and fiscal incentives (March et al., 2025; Northen et al., 2023). Integrating reuse targets into extended producer responsibility, public procurement, and packaging regulations would accelerate adoption and deliver measurable reductions in single-use waste (Dalhammar, Machacek, &amp; Mont, 2021).</w:t>
      </w:r>
    </w:p>
    <w:p w14:paraId="00000230" w14:textId="6782F306" w:rsidR="00D24D63" w:rsidRDefault="001A3940">
      <w:pPr>
        <w:numPr>
          <w:ilvl w:val="0"/>
          <w:numId w:val="20"/>
        </w:numPr>
        <w:spacing w:after="200"/>
        <w:ind w:left="425"/>
      </w:pPr>
      <w:r>
        <w:rPr>
          <w:b/>
          <w:bCs/>
        </w:rPr>
        <w:t>Improve transferability across sectors.</w:t>
      </w:r>
      <w:r>
        <w:t xml:space="preserve"> Low transferability remains a structural challenge for scaling circular economy action and achieving policy coherence across sectors. Many interventions are highly context-specific, designed for the material and regulatory characteristics of a single sector. Programmes that promote transferable models such as shared logistics, repair infrastructure, leasing and subscription systems, and digital tracking could enable faster diffusion of circular interventions. Evidence from reuse and refill policy work in Europe suggests that transferable systems thrive when supported by shared standards, cross-sector learning platforms, and investment in shared enabling infrastructure (March et al., 2025). Further research could help identify which intervention types and enabling conditions have the greatest potential to translate effectively across different material systems and value chains.</w:t>
      </w:r>
    </w:p>
    <w:p w14:paraId="00000231" w14:textId="1CAD50BB" w:rsidR="00D24D63" w:rsidRDefault="001A3940">
      <w:pPr>
        <w:numPr>
          <w:ilvl w:val="0"/>
          <w:numId w:val="20"/>
        </w:numPr>
        <w:spacing w:after="200"/>
        <w:ind w:left="425"/>
      </w:pPr>
      <w:r>
        <w:rPr>
          <w:b/>
          <w:bCs/>
        </w:rPr>
        <w:t xml:space="preserve">Strengthen evidence on outcomes and impact. </w:t>
      </w:r>
      <w:r>
        <w:t>Across sectors, many interventions report activity rather than impact, with few systematically measuring reductions in material throughput or emissions. Developing a consistent national framework for assessing circular economy outcomes would allow for more meaningful comparison and policy learning. Evaluation approaches that incorporate both environmental and socio-economic indicators would also help link circularity efforts to broader policy objectives such as decarbonisation and just transition (Global Plastics Policy Centre, 2024b).</w:t>
      </w:r>
    </w:p>
    <w:p w14:paraId="00000232" w14:textId="401709D7" w:rsidR="00D24D63" w:rsidRDefault="001A3940">
      <w:pPr>
        <w:numPr>
          <w:ilvl w:val="0"/>
          <w:numId w:val="20"/>
        </w:numPr>
        <w:spacing w:after="200"/>
        <w:ind w:left="425"/>
      </w:pPr>
      <w:r>
        <w:rPr>
          <w:b/>
          <w:bCs/>
        </w:rPr>
        <w:lastRenderedPageBreak/>
        <w:t>Align financial and regulatory incentives with circular outcomes.</w:t>
      </w:r>
      <w:r>
        <w:t xml:space="preserve"> Current policy continues to favour waste management and recycling rather than reduction and circular value retention, which can lead to investment and innovation being directed towards end-of-pipe solutions rather than systemic prevention. Reforming VAT and procurement rules to favour repair and reuse, embedding circular criteria in industrial and trade policy, and expanding extended producer responsibility instruments can shift the incentive structure away from solely supporting recycling and towards reducing material input and retaining value (Schröder &amp; Raes, 2021; OECD, 2025).</w:t>
      </w:r>
    </w:p>
    <w:p w14:paraId="00000233" w14:textId="2F22B934" w:rsidR="00D24D63" w:rsidRDefault="001A3940">
      <w:pPr>
        <w:numPr>
          <w:ilvl w:val="0"/>
          <w:numId w:val="20"/>
        </w:numPr>
        <w:spacing w:after="200"/>
        <w:ind w:left="425"/>
      </w:pPr>
      <w:r>
        <w:rPr>
          <w:b/>
          <w:bCs/>
        </w:rPr>
        <w:t>Support SME and community participation in circular infrastructure.</w:t>
      </w:r>
      <w:r>
        <w:t xml:space="preserve"> SMEs and local actors remain a vital but under-supported component of the UK’s circular economy ecosystem. Many of the most innovative interventions identified, particularly in textiles and agri-food, originate from community-level or SME initiatives that operate without the scale or visibility of corporate programmes. Supporting regional circular economy hubs could provide shared access to logistics, repair facilities, and digital infrastructure, helping these smaller actors achieve greater consistency and impact at scale.</w:t>
      </w:r>
    </w:p>
    <w:p w14:paraId="00000234" w14:textId="5A951B6A" w:rsidR="00D24D63" w:rsidRDefault="001A3940">
      <w:pPr>
        <w:numPr>
          <w:ilvl w:val="0"/>
          <w:numId w:val="20"/>
        </w:numPr>
        <w:spacing w:after="200"/>
        <w:ind w:left="425"/>
      </w:pPr>
      <w:r w:rsidRPr="0033244E">
        <w:rPr>
          <w:b/>
          <w:bCs/>
        </w:rPr>
        <w:t xml:space="preserve">Prioritise gaps by potential impact. </w:t>
      </w:r>
      <w:r>
        <w:t>While evidence gaps are expected across such a broad and diverse set of sectors, understanding which missing interventions would deliver the greatest systemic impact would help target future research and funding. A structured prioritisation process could assess where addressing a gap (for example, in remanufacturing or refuse-based innovation) would yield the highest material savings, emissions reduction, or cross-sector benefit. This would help distinguish between gaps that are low consequence and those that represent missed opportunities for transformation.</w:t>
      </w:r>
    </w:p>
    <w:p w14:paraId="185B94C2" w14:textId="3A8EDD13" w:rsidR="002360D1" w:rsidRDefault="002360D1">
      <w:pPr>
        <w:numPr>
          <w:ilvl w:val="0"/>
          <w:numId w:val="20"/>
        </w:numPr>
        <w:spacing w:after="200"/>
        <w:ind w:left="425"/>
      </w:pPr>
      <w:r w:rsidRPr="009F047F">
        <w:rPr>
          <w:b/>
          <w:bCs/>
        </w:rPr>
        <w:t>Further research on intervention maturity and diffusion.</w:t>
      </w:r>
      <w:r>
        <w:t xml:space="preserve"> </w:t>
      </w:r>
      <w:r w:rsidRPr="002360D1">
        <w:t>While this mapping counted interventions equally across T</w:t>
      </w:r>
      <w:r>
        <w:t xml:space="preserve">RL </w:t>
      </w:r>
      <w:r w:rsidRPr="002360D1">
        <w:t>and scalability classifications, future work could explore their relative market penetration to understand where interventions are achieving the greatest real-world impact. Analysing market share or adoption levels of full-market interventions would help to contextualise the maturity of circular models and identify where scaling efforts deliver the most value.</w:t>
      </w:r>
    </w:p>
    <w:p w14:paraId="00000235" w14:textId="77777777" w:rsidR="00D24D63" w:rsidRDefault="001A3940">
      <w:pPr>
        <w:pStyle w:val="Heading1"/>
        <w:spacing w:after="200"/>
      </w:pPr>
      <w:bookmarkStart w:id="23" w:name="_heading=h.2yptudnqoe67" w:colFirst="0" w:colLast="0"/>
      <w:bookmarkEnd w:id="23"/>
      <w:r>
        <w:br w:type="page"/>
      </w:r>
    </w:p>
    <w:p w14:paraId="00000236" w14:textId="77777777" w:rsidR="00D24D63" w:rsidRDefault="001A3940">
      <w:pPr>
        <w:pStyle w:val="Heading1"/>
        <w:spacing w:after="200"/>
        <w:ind w:left="-141"/>
      </w:pPr>
      <w:bookmarkStart w:id="24" w:name="_heading=h.ae2316av63q" w:colFirst="0" w:colLast="0"/>
      <w:bookmarkEnd w:id="24"/>
      <w:r>
        <w:lastRenderedPageBreak/>
        <w:t>References</w:t>
      </w:r>
    </w:p>
    <w:p w14:paraId="00000237" w14:textId="77777777" w:rsidR="00D24D63" w:rsidRDefault="001A3940">
      <w:pPr>
        <w:spacing w:after="200"/>
        <w:ind w:left="283" w:hanging="425"/>
      </w:pPr>
      <w:r>
        <w:t xml:space="preserve">Abu-Bakar, H., Charnley, F. Evaluating National Circular Economy Practices in the UK: Setting a Strategic Agenda for a Nation-Wide Roadmap. Circ.Econ.Sust. (2025). </w:t>
      </w:r>
      <w:hyperlink r:id="rId15">
        <w:r w:rsidR="00D24D63">
          <w:rPr>
            <w:color w:val="1155CC"/>
            <w:u w:val="single"/>
          </w:rPr>
          <w:t>https://doi.org/10.1007/s43615-025-00669-2</w:t>
        </w:r>
      </w:hyperlink>
    </w:p>
    <w:p w14:paraId="00000238" w14:textId="77777777" w:rsidR="00D24D63" w:rsidRDefault="001A3940">
      <w:pPr>
        <w:spacing w:after="200"/>
        <w:ind w:left="283" w:hanging="425"/>
      </w:pPr>
      <w:r>
        <w:t xml:space="preserve">Awino, F. B., &amp; Apitz, S. E. (2024). Solid waste management in the context of the waste hierarchy and circular economy frameworks: An international review. </w:t>
      </w:r>
      <w:r>
        <w:rPr>
          <w:i/>
          <w:iCs/>
        </w:rPr>
        <w:t>Integrated Environmental Assessment and Management, 20</w:t>
      </w:r>
      <w:r>
        <w:t>(1), 9–22. https://doi.org/10.1002/ieam.4771</w:t>
      </w:r>
    </w:p>
    <w:p w14:paraId="00000239" w14:textId="77777777" w:rsidR="00D24D63" w:rsidRDefault="001A3940">
      <w:pPr>
        <w:spacing w:after="200"/>
        <w:ind w:left="283" w:hanging="425"/>
      </w:pPr>
      <w:r>
        <w:t xml:space="preserve">Baldassarre, B., &amp; Carrara, S. (2025). Critical raw materials, circular economy, sustainable development: EU policy reflections for future research and innovation. Resources, Conservation &amp; Recycling, 198, 108060. </w:t>
      </w:r>
      <w:hyperlink r:id="rId16">
        <w:r w:rsidR="00D24D63">
          <w:rPr>
            <w:color w:val="1155CC"/>
            <w:u w:val="single"/>
          </w:rPr>
          <w:t>https://doi.org/10.1016/j.resconrec.2024.108060</w:t>
        </w:r>
      </w:hyperlink>
    </w:p>
    <w:p w14:paraId="0000023A" w14:textId="77777777" w:rsidR="00D24D63" w:rsidRDefault="001A3940">
      <w:pPr>
        <w:spacing w:after="200"/>
        <w:ind w:left="283" w:hanging="425"/>
      </w:pPr>
      <w:r>
        <w:t xml:space="preserve">Dalhammar, C., Machacek, E., &amp; Mont, O. (2021). Enabling reuse in extended producer responsibility schemes for white goods. </w:t>
      </w:r>
      <w:r>
        <w:rPr>
          <w:i/>
          <w:iCs/>
        </w:rPr>
        <w:t>Circular Economy and Sustainability, 1</w:t>
      </w:r>
      <w:r>
        <w:t xml:space="preserve">(2), 547–563. </w:t>
      </w:r>
      <w:hyperlink r:id="rId17">
        <w:r w:rsidR="00D24D63">
          <w:rPr>
            <w:color w:val="1155CC"/>
            <w:u w:val="single"/>
          </w:rPr>
          <w:t>https://doi.org/10.1007/s43615-021-00053-w</w:t>
        </w:r>
      </w:hyperlink>
    </w:p>
    <w:p w14:paraId="0000023B" w14:textId="77777777" w:rsidR="00D24D63" w:rsidRDefault="001A3940">
      <w:pPr>
        <w:spacing w:after="200"/>
        <w:ind w:left="141" w:hanging="283"/>
      </w:pPr>
      <w:r>
        <w:t xml:space="preserve">Ellen MacArthur Foundation. (n.d.). </w:t>
      </w:r>
      <w:r>
        <w:rPr>
          <w:i/>
          <w:iCs/>
        </w:rPr>
        <w:t>Circular economy glossary</w:t>
      </w:r>
      <w:r>
        <w:t>. Ellen MacArthur Foundation. https://www.ellenmacarthurfoundation.org/topics/circular-economy-introduction/glossary</w:t>
      </w:r>
    </w:p>
    <w:p w14:paraId="0000023C" w14:textId="77777777" w:rsidR="00D24D63" w:rsidRDefault="001A3940">
      <w:pPr>
        <w:spacing w:after="200"/>
        <w:ind w:left="283" w:hanging="425"/>
      </w:pPr>
      <w:r>
        <w:t xml:space="preserve">Ellen MacArthur Foundation. (2024). </w:t>
      </w:r>
      <w:r>
        <w:rPr>
          <w:i/>
          <w:iCs/>
        </w:rPr>
        <w:t>Circular economy principles</w:t>
      </w:r>
      <w:r>
        <w:t>. https://www.ellenmacarthurfoundation.org/circular-economy-principles</w:t>
      </w:r>
    </w:p>
    <w:p w14:paraId="0000023D" w14:textId="77777777" w:rsidR="00D24D63" w:rsidRDefault="001A3940">
      <w:pPr>
        <w:spacing w:after="200"/>
        <w:ind w:left="283" w:hanging="425"/>
      </w:pPr>
      <w:r>
        <w:t xml:space="preserve">Ellen MacArthur Foundation &amp; WWF. (2025, March 6). </w:t>
      </w:r>
      <w:r>
        <w:rPr>
          <w:i/>
          <w:iCs/>
        </w:rPr>
        <w:t>Reuse in the Global South</w:t>
      </w:r>
      <w:r>
        <w:t xml:space="preserve">. Ellen MacArthur Foundation. https://www.ellenmacarthurfoundation.org/reuse-in-the-global-south </w:t>
      </w:r>
    </w:p>
    <w:p w14:paraId="0000023E" w14:textId="69091CFC" w:rsidR="00D24D63" w:rsidRDefault="001A3940">
      <w:pPr>
        <w:spacing w:after="200"/>
        <w:ind w:left="283" w:hanging="425"/>
      </w:pPr>
      <w:r>
        <w:t xml:space="preserve">Envar Composting Ltd. (n.d.). </w:t>
      </w:r>
      <w:r w:rsidRPr="0033244E">
        <w:rPr>
          <w:i/>
          <w:iCs/>
        </w:rPr>
        <w:t>Ground coffee recycling – Jute Coffee</w:t>
      </w:r>
      <w:r>
        <w:t xml:space="preserve">. Envar. Retrieved December 2, 2025, from </w:t>
      </w:r>
      <w:hyperlink r:id="rId18" w:history="1">
        <w:r w:rsidR="00D24D63">
          <w:rPr>
            <w:color w:val="1155CC"/>
            <w:u w:val="single"/>
          </w:rPr>
          <w:t>https://www.envar.co.uk/ground-coffee-recycling-jute-coffee/</w:t>
        </w:r>
      </w:hyperlink>
    </w:p>
    <w:p w14:paraId="0000023F" w14:textId="77777777" w:rsidR="00D24D63" w:rsidRDefault="001A3940">
      <w:pPr>
        <w:spacing w:after="200"/>
        <w:ind w:left="283" w:hanging="425"/>
      </w:pPr>
      <w:r>
        <w:t>Global Plastics Policy Centre. (2023). Making reuse a reality: A systems approach to tackling single-use plastic pollution. Revolution Plastics, University of Portsmouth, UK.</w:t>
      </w:r>
    </w:p>
    <w:p w14:paraId="00000240" w14:textId="77777777" w:rsidR="00D24D63" w:rsidRDefault="001A3940">
      <w:pPr>
        <w:spacing w:after="200"/>
        <w:ind w:left="283" w:hanging="425"/>
      </w:pPr>
      <w:r>
        <w:t>Global Plastics Policy Centre. (2024a). Barriers and opportunities for circularity in plastics- WR1933 | Defining circularity for plastics. Department for Environment, Food and Rural Affairs .</w:t>
      </w:r>
    </w:p>
    <w:p w14:paraId="00000241" w14:textId="77777777" w:rsidR="00D24D63" w:rsidRDefault="001A3940">
      <w:pPr>
        <w:spacing w:after="200"/>
        <w:ind w:left="283" w:hanging="425"/>
      </w:pPr>
      <w:r>
        <w:t>Global Plastics Policy Centre. (2024b). Barriers and opportunities for circularity in plastics - WR1933 | Circularity in practice: materials. Department for Environment, Food and Rural Affairs .</w:t>
      </w:r>
    </w:p>
    <w:p w14:paraId="00000242" w14:textId="77777777" w:rsidR="00D24D63" w:rsidRDefault="001A3940">
      <w:pPr>
        <w:spacing w:after="200"/>
        <w:ind w:left="283" w:hanging="425"/>
      </w:pPr>
      <w:r>
        <w:t>Kirchherr, J., Reike, D., &amp; Hekkert, M. (2017). Conceptualizing the circular economy: An analysis of 114 definitions. Resources, conservation and recycling, 127, 221-232.</w:t>
      </w:r>
    </w:p>
    <w:p w14:paraId="00000243" w14:textId="77777777" w:rsidR="00D24D63" w:rsidRDefault="001A3940">
      <w:pPr>
        <w:spacing w:after="200"/>
        <w:ind w:left="283" w:hanging="425"/>
      </w:pPr>
      <w:r>
        <w:t xml:space="preserve">March, A., Darut, A., Evans, T., and Revat-Dontenwill, U. (2025). Designing effective reuse policy in Europe: Priorities for national and EU Action | Policy Brief. Global Plastics Policy Centre, University of Portsmouth, UK. </w:t>
      </w:r>
      <w:hyperlink r:id="rId19">
        <w:r w:rsidR="00D24D63">
          <w:rPr>
            <w:color w:val="1155CC"/>
            <w:u w:val="single"/>
          </w:rPr>
          <w:t>https://plasticspolicy.port.ac.uk/research/europe-reuse-policy-brief/</w:t>
        </w:r>
      </w:hyperlink>
    </w:p>
    <w:p w14:paraId="00000244" w14:textId="77777777" w:rsidR="00D24D63" w:rsidRDefault="001A3940">
      <w:pPr>
        <w:spacing w:after="200"/>
        <w:ind w:left="283" w:hanging="425"/>
      </w:pPr>
      <w:r>
        <w:lastRenderedPageBreak/>
        <w:t xml:space="preserve">Northen, S., March, A., Bowyer, C., Fletcher S. (2023). Accelerating the scaling of reuse systems | Global Plastics Treaty Policy Brief. Global Plastics Policy Centre and Break Free From Plastic. </w:t>
      </w:r>
      <w:hyperlink r:id="rId20">
        <w:r w:rsidR="00D24D63">
          <w:rPr>
            <w:color w:val="1155CC"/>
            <w:u w:val="single"/>
          </w:rPr>
          <w:t>https://plasticspolicy.port.ac.uk/research/reuse-policy-brief/</w:t>
        </w:r>
      </w:hyperlink>
    </w:p>
    <w:p w14:paraId="00000245" w14:textId="204688F8" w:rsidR="00D24D63" w:rsidRDefault="001A3940">
      <w:pPr>
        <w:spacing w:after="200"/>
        <w:ind w:left="283" w:hanging="425"/>
      </w:pPr>
      <w:r>
        <w:t>OECD. (2024). Global Material Resources Outlook to 2060: Policy Challenges for a Sustainable Future. OECD Publishing. https://www.oecd.org/en/publications/global-material-resources-outlook-to-2060_9789264307452-en.html</w:t>
      </w:r>
    </w:p>
    <w:p w14:paraId="00000246" w14:textId="77777777" w:rsidR="00D24D63" w:rsidRDefault="001A3940">
      <w:pPr>
        <w:spacing w:after="200"/>
        <w:ind w:left="283" w:hanging="425"/>
      </w:pPr>
      <w:r>
        <w:t xml:space="preserve">OECD. (2025). Economic instruments for a resource-efficient circular economy. OECD Publishing. </w:t>
      </w:r>
      <w:hyperlink r:id="rId21">
        <w:r w:rsidR="00D24D63">
          <w:rPr>
            <w:color w:val="1155CC"/>
            <w:u w:val="single"/>
          </w:rPr>
          <w:t>https://www.oecd.org/content/dam/oecd/en/publications/reports/2025/02/economic-instruments-for-a-resource-efficient-circular-economy_a0acfd50/35a7051a-en.pdf</w:t>
        </w:r>
      </w:hyperlink>
      <w:r>
        <w:t xml:space="preserve"> </w:t>
      </w:r>
    </w:p>
    <w:p w14:paraId="00000247" w14:textId="77777777" w:rsidR="00D24D63" w:rsidRDefault="001A3940">
      <w:pPr>
        <w:spacing w:after="200"/>
        <w:ind w:left="283" w:hanging="425"/>
      </w:pPr>
      <w:r>
        <w:t xml:space="preserve">Reike, D., Vermeulen, W. J., &amp; Witjes, S. (2018). The circular economy: New or refurbished as CE 3.0? Exploring controversies in the conceptualization of the circular economy through a focus on history and value retention options. Resources, Conservation &amp; Recycling, 135, 246–264. </w:t>
      </w:r>
      <w:hyperlink r:id="rId22">
        <w:r w:rsidR="00D24D63">
          <w:rPr>
            <w:color w:val="1155CC"/>
            <w:u w:val="single"/>
          </w:rPr>
          <w:t>https://doi.org/10.1016/j.resconrec.2017.08.027</w:t>
        </w:r>
      </w:hyperlink>
    </w:p>
    <w:p w14:paraId="00000248" w14:textId="77777777" w:rsidR="00D24D63" w:rsidRDefault="001A3940">
      <w:pPr>
        <w:spacing w:after="200"/>
        <w:ind w:left="283" w:hanging="425"/>
      </w:pPr>
      <w:r>
        <w:t xml:space="preserve">Schröder, P., &amp; Raes, J. (2021). Financing an inclusive circular economy: De-risking investments for circular business models and the SDGs (Research Paper). Chatham House. </w:t>
      </w:r>
      <w:hyperlink r:id="rId23">
        <w:r w:rsidR="00D24D63">
          <w:rPr>
            <w:color w:val="1155CC"/>
            <w:u w:val="single"/>
          </w:rPr>
          <w:t>https://www.chathamhouse.org/sites/default/files/2021-07/2021-07-16-inclusive-circular-economy-schroder-raes.pdf</w:t>
        </w:r>
      </w:hyperlink>
    </w:p>
    <w:p w14:paraId="00000249" w14:textId="77777777" w:rsidR="00D24D63" w:rsidRDefault="001A3940">
      <w:pPr>
        <w:spacing w:after="200"/>
        <w:ind w:left="283" w:hanging="425"/>
      </w:pPr>
      <w:r>
        <w:t xml:space="preserve">Tesco. (n.d.). </w:t>
      </w:r>
      <w:r>
        <w:rPr>
          <w:i/>
          <w:iCs/>
        </w:rPr>
        <w:t>4Rs – Tesco recycling</w:t>
      </w:r>
      <w:r>
        <w:t xml:space="preserve">. Tesco Groceries. Retrieved December 2, 2025, from </w:t>
      </w:r>
      <w:hyperlink r:id="rId24">
        <w:r w:rsidR="00D24D63">
          <w:rPr>
            <w:color w:val="1155CC"/>
            <w:u w:val="single"/>
          </w:rPr>
          <w:t>https://www.tesco.com/groceries/en-GB/zone/4Rs</w:t>
        </w:r>
      </w:hyperlink>
      <w:r>
        <w:t xml:space="preserve"> </w:t>
      </w:r>
      <w:hyperlink r:id="rId25">
        <w:r w:rsidR="00D24D63">
          <w:rPr>
            <w:color w:val="1155CC"/>
            <w:u w:val="single"/>
          </w:rPr>
          <w:t>[tesco.com]</w:t>
        </w:r>
      </w:hyperlink>
    </w:p>
    <w:p w14:paraId="0000024A" w14:textId="4959E877" w:rsidR="00D24D63" w:rsidRDefault="001A3940">
      <w:pPr>
        <w:spacing w:after="200"/>
        <w:ind w:left="283" w:hanging="425"/>
      </w:pPr>
      <w:r>
        <w:t>UNEP (2023). Turning off the Tap: How the world can end plastic pollution and create a circular economy. United Nations Environment Programme (UNEP). Nairobi.</w:t>
      </w:r>
      <w:r>
        <w:br w:type="page"/>
      </w:r>
    </w:p>
    <w:p w14:paraId="0000024B" w14:textId="77777777" w:rsidR="00D24D63" w:rsidRDefault="001A3940">
      <w:pPr>
        <w:pStyle w:val="Heading1"/>
      </w:pPr>
      <w:bookmarkStart w:id="25" w:name="_heading=h.ppbn3vjktv58" w:colFirst="0" w:colLast="0"/>
      <w:bookmarkEnd w:id="25"/>
      <w:r>
        <w:lastRenderedPageBreak/>
        <w:t>Annexes</w:t>
      </w:r>
    </w:p>
    <w:p w14:paraId="0000024C" w14:textId="77777777" w:rsidR="00D24D63" w:rsidRDefault="001A3940">
      <w:pPr>
        <w:pStyle w:val="Heading2"/>
        <w:rPr>
          <w:color w:val="000000"/>
          <w:sz w:val="46"/>
          <w:szCs w:val="46"/>
        </w:rPr>
      </w:pPr>
      <w:bookmarkStart w:id="26" w:name="_heading=h.c5ezic9dbw7w" w:colFirst="0" w:colLast="0"/>
      <w:bookmarkEnd w:id="26"/>
      <w:r>
        <w:t>Annex 1. Sector definitions and scope</w:t>
      </w:r>
    </w:p>
    <w:p w14:paraId="0000024D" w14:textId="77777777" w:rsidR="00D24D63" w:rsidRDefault="001A3940">
      <w:pPr>
        <w:spacing w:before="240" w:after="240"/>
      </w:pPr>
      <w:r>
        <w:t>This annex sets out working definitions for the priority sectors, including what is considered in-scope and out-of-scope for the purposes of this project.</w:t>
      </w:r>
    </w:p>
    <w:p w14:paraId="0000024E" w14:textId="77777777" w:rsidR="00D24D63" w:rsidRDefault="001A3940">
      <w:pPr>
        <w:spacing w:before="280"/>
        <w:rPr>
          <w:b/>
          <w:bCs/>
        </w:rPr>
      </w:pPr>
      <w:r>
        <w:rPr>
          <w:b/>
          <w:bCs/>
        </w:rPr>
        <w:t>Agri-food</w:t>
      </w:r>
    </w:p>
    <w:p w14:paraId="0000024F" w14:textId="77777777" w:rsidR="00D24D63" w:rsidRDefault="001A3940">
      <w:pPr>
        <w:rPr>
          <w:i/>
          <w:iCs/>
        </w:rPr>
      </w:pPr>
      <w:r>
        <w:t>Defined by Defra as “</w:t>
      </w:r>
      <w:r>
        <w:rPr>
          <w:rFonts w:ascii="Arial" w:eastAsia="Arial" w:hAnsi="Arial" w:cs="Arial"/>
          <w:i/>
          <w:iCs/>
        </w:rPr>
        <w:t>The system that produces, processes, packages, and distributes food. The agri-food sector has high levels of food and packaging waste, low nutrient efficiency, and significant environmental impacts.”</w:t>
      </w:r>
    </w:p>
    <w:p w14:paraId="00000250" w14:textId="77777777" w:rsidR="00D24D63" w:rsidRDefault="001A3940">
      <w:r>
        <w:t>In scope:</w:t>
      </w:r>
    </w:p>
    <w:p w14:paraId="00000251" w14:textId="77777777" w:rsidR="00D24D63" w:rsidRDefault="001A3940">
      <w:pPr>
        <w:numPr>
          <w:ilvl w:val="0"/>
          <w:numId w:val="11"/>
        </w:numPr>
      </w:pPr>
      <w:r>
        <w:t>Agriculture, horticulture, aquaculture, fisheries.</w:t>
      </w:r>
    </w:p>
    <w:p w14:paraId="00000252" w14:textId="77777777" w:rsidR="00D24D63" w:rsidRDefault="001A3940">
      <w:pPr>
        <w:numPr>
          <w:ilvl w:val="0"/>
          <w:numId w:val="11"/>
        </w:numPr>
      </w:pPr>
      <w:r>
        <w:t>Food processing, manufacturing, packaging, and distribution.</w:t>
      </w:r>
    </w:p>
    <w:p w14:paraId="00000253" w14:textId="77777777" w:rsidR="00D24D63" w:rsidRDefault="001A3940">
      <w:pPr>
        <w:numPr>
          <w:ilvl w:val="0"/>
          <w:numId w:val="11"/>
        </w:numPr>
        <w:spacing w:after="240"/>
      </w:pPr>
      <w:r>
        <w:t>Interventions to reduce food and packaging waste, improve nutrient efficiency, redesign packaging and food systems.</w:t>
      </w:r>
    </w:p>
    <w:p w14:paraId="00000254" w14:textId="77777777" w:rsidR="00D24D63" w:rsidRDefault="001A3940">
      <w:pPr>
        <w:spacing w:before="240"/>
        <w:rPr>
          <w:b/>
          <w:bCs/>
        </w:rPr>
      </w:pPr>
      <w:r>
        <w:t>Excluded from scope:</w:t>
      </w:r>
    </w:p>
    <w:p w14:paraId="00000255" w14:textId="77777777" w:rsidR="00D24D63" w:rsidRDefault="001A3940">
      <w:pPr>
        <w:numPr>
          <w:ilvl w:val="0"/>
          <w:numId w:val="10"/>
        </w:numPr>
      </w:pPr>
      <w:r>
        <w:t>Broader land use and ecosystem management not linked to food production.</w:t>
      </w:r>
    </w:p>
    <w:p w14:paraId="00000256" w14:textId="77777777" w:rsidR="00D24D63" w:rsidRDefault="001A3940">
      <w:pPr>
        <w:numPr>
          <w:ilvl w:val="0"/>
          <w:numId w:val="10"/>
        </w:numPr>
      </w:pPr>
      <w:r>
        <w:t>Energy crops and non-food biomass.</w:t>
      </w:r>
    </w:p>
    <w:p w14:paraId="00000257" w14:textId="77777777" w:rsidR="00D24D63" w:rsidRDefault="001A3940">
      <w:pPr>
        <w:numPr>
          <w:ilvl w:val="0"/>
          <w:numId w:val="10"/>
        </w:numPr>
        <w:spacing w:after="240"/>
      </w:pPr>
      <w:r>
        <w:t>Nutrient cycles unrelated to food (such as fertilisers for biofuels).</w:t>
      </w:r>
    </w:p>
    <w:p w14:paraId="00000258" w14:textId="77777777" w:rsidR="00D24D63" w:rsidRDefault="001A3940">
      <w:pPr>
        <w:spacing w:before="280"/>
        <w:rPr>
          <w:b/>
          <w:bCs/>
        </w:rPr>
      </w:pPr>
      <w:r>
        <w:rPr>
          <w:b/>
          <w:bCs/>
        </w:rPr>
        <w:t>Built environment</w:t>
      </w:r>
    </w:p>
    <w:p w14:paraId="00000259" w14:textId="77777777" w:rsidR="00D24D63" w:rsidRDefault="001A3940">
      <w:pPr>
        <w:rPr>
          <w:i/>
          <w:iCs/>
        </w:rPr>
      </w:pPr>
      <w:r>
        <w:t>Defined by Defra as “</w:t>
      </w:r>
      <w:r>
        <w:rPr>
          <w:i/>
          <w:iCs/>
        </w:rPr>
        <w:t>The construction sector is a particular focus for the built environment, especially materials and products that are used for infrastructure and retaining material value over time.”</w:t>
      </w:r>
    </w:p>
    <w:p w14:paraId="0000025A" w14:textId="77777777" w:rsidR="00D24D63" w:rsidRDefault="001A3940">
      <w:pPr>
        <w:spacing w:before="240"/>
      </w:pPr>
      <w:r>
        <w:t>In scope:</w:t>
      </w:r>
    </w:p>
    <w:p w14:paraId="0000025B" w14:textId="77777777" w:rsidR="00D24D63" w:rsidRDefault="001A3940">
      <w:pPr>
        <w:numPr>
          <w:ilvl w:val="0"/>
          <w:numId w:val="8"/>
        </w:numPr>
      </w:pPr>
      <w:r>
        <w:t>Construction materials (concrete, steel, timber, composites).</w:t>
      </w:r>
    </w:p>
    <w:p w14:paraId="0000025C" w14:textId="77777777" w:rsidR="00D24D63" w:rsidRDefault="001A3940">
      <w:pPr>
        <w:numPr>
          <w:ilvl w:val="0"/>
          <w:numId w:val="8"/>
        </w:numPr>
      </w:pPr>
      <w:r>
        <w:t>Products for buildings and infrastructure (fixtures, fittings).</w:t>
      </w:r>
    </w:p>
    <w:p w14:paraId="0000025D" w14:textId="77777777" w:rsidR="00D24D63" w:rsidRDefault="001A3940">
      <w:pPr>
        <w:numPr>
          <w:ilvl w:val="0"/>
          <w:numId w:val="8"/>
        </w:numPr>
        <w:spacing w:after="240"/>
      </w:pPr>
      <w:r>
        <w:t>Retrofitting, modular design, and circular construction practices.</w:t>
      </w:r>
    </w:p>
    <w:p w14:paraId="0000025E" w14:textId="77777777" w:rsidR="00D24D63" w:rsidRDefault="001A3940">
      <w:pPr>
        <w:spacing w:before="240"/>
      </w:pPr>
      <w:r>
        <w:t>Excluded from scope:</w:t>
      </w:r>
    </w:p>
    <w:p w14:paraId="0000025F" w14:textId="77777777" w:rsidR="00D24D63" w:rsidRDefault="001A3940">
      <w:pPr>
        <w:numPr>
          <w:ilvl w:val="0"/>
          <w:numId w:val="9"/>
        </w:numPr>
      </w:pPr>
      <w:r>
        <w:t>Urban planning or spatial planning not tied to material/product circularity.</w:t>
      </w:r>
    </w:p>
    <w:p w14:paraId="00000260" w14:textId="77777777" w:rsidR="00D24D63" w:rsidRDefault="001A3940">
      <w:pPr>
        <w:numPr>
          <w:ilvl w:val="0"/>
          <w:numId w:val="9"/>
        </w:numPr>
        <w:spacing w:after="240"/>
      </w:pPr>
      <w:r>
        <w:t>Broader housing policy or land use unrelated to construction materials.</w:t>
      </w:r>
    </w:p>
    <w:p w14:paraId="00000261" w14:textId="77777777" w:rsidR="00D24D63" w:rsidRDefault="001A3940">
      <w:pPr>
        <w:spacing w:before="280"/>
        <w:rPr>
          <w:b/>
          <w:bCs/>
        </w:rPr>
      </w:pPr>
      <w:r>
        <w:rPr>
          <w:b/>
          <w:bCs/>
        </w:rPr>
        <w:t>Chemicals and plastics</w:t>
      </w:r>
    </w:p>
    <w:p w14:paraId="00000262" w14:textId="0EE35F81" w:rsidR="00D24D63" w:rsidRDefault="001A3940">
      <w:pPr>
        <w:rPr>
          <w:rFonts w:ascii="Arial" w:eastAsia="Arial" w:hAnsi="Arial" w:cs="Arial"/>
          <w:i/>
          <w:iCs/>
        </w:rPr>
      </w:pPr>
      <w:r>
        <w:t>Defined by Defra as “</w:t>
      </w:r>
      <w:r>
        <w:rPr>
          <w:rFonts w:ascii="Arial" w:eastAsia="Arial" w:hAnsi="Arial" w:cs="Arial"/>
          <w:i/>
          <w:iCs/>
          <w:color w:val="212121"/>
        </w:rPr>
        <w:t>We refer to chemicals and plastics as two separate sectors within an integrated industry. Although often considered separately, chemicals and plastics are closely linked; plastics are made from polymers, formed by connecting smaller chemicals.</w:t>
      </w:r>
    </w:p>
    <w:p w14:paraId="00000263" w14:textId="77777777" w:rsidR="00D24D63" w:rsidRDefault="001A3940">
      <w:pPr>
        <w:spacing w:line="276" w:lineRule="auto"/>
        <w:rPr>
          <w:i/>
          <w:iCs/>
        </w:rPr>
      </w:pPr>
      <w:r>
        <w:rPr>
          <w:rFonts w:ascii="Arial" w:eastAsia="Arial" w:hAnsi="Arial" w:cs="Arial"/>
          <w:i/>
          <w:iCs/>
        </w:rPr>
        <w:t>“Plastic” means a material made wholly or partly of synthetic polymers, chemically modified natural polymers, or polymers derived from bio-based feedstocks through chemical transformation, including additives, that can be shaped during processing and serves as a main structural component of a product. This includes thermoplastics, thermosets, elastomers, and composites, and excludes unmodified natural polymers, non-polymerised fibre-based materials (such as paper, cotton, or wool).”</w:t>
      </w:r>
    </w:p>
    <w:p w14:paraId="00000264" w14:textId="77777777" w:rsidR="00D24D63" w:rsidRDefault="001A3940">
      <w:pPr>
        <w:spacing w:before="240"/>
      </w:pPr>
      <w:r>
        <w:lastRenderedPageBreak/>
        <w:t>In scope:</w:t>
      </w:r>
    </w:p>
    <w:p w14:paraId="00000265" w14:textId="77777777" w:rsidR="00D24D63" w:rsidRDefault="001A3940">
      <w:pPr>
        <w:numPr>
          <w:ilvl w:val="0"/>
          <w:numId w:val="16"/>
        </w:numPr>
      </w:pPr>
      <w:r>
        <w:t>Plastics (thermoplastics, thermosets, elastomers, composites), additives, and polymer feedstocks.</w:t>
      </w:r>
    </w:p>
    <w:p w14:paraId="00000266" w14:textId="77777777" w:rsidR="00D24D63" w:rsidRDefault="001A3940">
      <w:pPr>
        <w:numPr>
          <w:ilvl w:val="0"/>
          <w:numId w:val="16"/>
        </w:numPr>
      </w:pPr>
      <w:r>
        <w:t>Chemical processes that enable sustainable plastics or circular design.</w:t>
      </w:r>
    </w:p>
    <w:p w14:paraId="00000267" w14:textId="77777777" w:rsidR="00D24D63" w:rsidRDefault="001A3940">
      <w:pPr>
        <w:numPr>
          <w:ilvl w:val="0"/>
          <w:numId w:val="16"/>
        </w:numPr>
        <w:spacing w:after="240"/>
      </w:pPr>
      <w:r>
        <w:t>Focus on defossilisation, bio-based feedstocks, plastic packaging, and polymer innovation.</w:t>
      </w:r>
    </w:p>
    <w:p w14:paraId="00000268" w14:textId="77777777" w:rsidR="00D24D63" w:rsidRDefault="001A3940">
      <w:pPr>
        <w:spacing w:before="240"/>
      </w:pPr>
      <w:r>
        <w:t>Excluded from scope:</w:t>
      </w:r>
    </w:p>
    <w:p w14:paraId="00000269" w14:textId="77777777" w:rsidR="00D24D63" w:rsidRDefault="001A3940">
      <w:pPr>
        <w:numPr>
          <w:ilvl w:val="0"/>
          <w:numId w:val="22"/>
        </w:numPr>
      </w:pPr>
      <w:r>
        <w:t>The entire chemical sector (pharma, fertilisers, etc.) unless directly linked to plastics.</w:t>
      </w:r>
    </w:p>
    <w:p w14:paraId="0000026A" w14:textId="77777777" w:rsidR="00D24D63" w:rsidRDefault="001A3940">
      <w:pPr>
        <w:numPr>
          <w:ilvl w:val="0"/>
          <w:numId w:val="22"/>
        </w:numPr>
      </w:pPr>
      <w:r>
        <w:t>General industrial chemistry not applied to materials or plastics.</w:t>
      </w:r>
    </w:p>
    <w:p w14:paraId="0000026B" w14:textId="77777777" w:rsidR="00D24D63" w:rsidRDefault="001A3940">
      <w:pPr>
        <w:spacing w:before="280"/>
        <w:rPr>
          <w:b/>
          <w:bCs/>
        </w:rPr>
      </w:pPr>
      <w:r>
        <w:rPr>
          <w:b/>
          <w:bCs/>
        </w:rPr>
        <w:t>Electrical and Electronic Equipment (EEE)</w:t>
      </w:r>
    </w:p>
    <w:p w14:paraId="0000026C" w14:textId="77777777" w:rsidR="00D24D63" w:rsidRDefault="001A3940">
      <w:pPr>
        <w:spacing w:line="276" w:lineRule="auto"/>
        <w:rPr>
          <w:b/>
          <w:bCs/>
          <w:i/>
          <w:iCs/>
        </w:rPr>
      </w:pPr>
      <w:r>
        <w:rPr>
          <w:rFonts w:ascii="Arial" w:eastAsia="Arial" w:hAnsi="Arial" w:cs="Arial"/>
        </w:rPr>
        <w:t>Defined by Defra as “</w:t>
      </w:r>
      <w:r>
        <w:rPr>
          <w:rFonts w:ascii="Arial" w:eastAsia="Arial" w:hAnsi="Arial" w:cs="Arial"/>
          <w:i/>
          <w:iCs/>
        </w:rPr>
        <w:t>Electrical products as a device that uses electricity to perform a task or convert electrical energy into other forms of energy, such as a microwave, toaster, blender, kettle or hair dryer. An electronic product is a device that stores, generates or transmits information in electronic form, such as a mobile phone, laptop, printer or earbuds. EEE are heavily reliant on critical raw materials and depend on imports for the UK EEE market.”</w:t>
      </w:r>
    </w:p>
    <w:p w14:paraId="0000026D" w14:textId="77777777" w:rsidR="00D24D63" w:rsidRDefault="001A3940">
      <w:pPr>
        <w:spacing w:before="240"/>
      </w:pPr>
      <w:r>
        <w:t>In scope:</w:t>
      </w:r>
    </w:p>
    <w:p w14:paraId="0000026E" w14:textId="77777777" w:rsidR="00D24D63" w:rsidRDefault="001A3940">
      <w:pPr>
        <w:numPr>
          <w:ilvl w:val="0"/>
          <w:numId w:val="17"/>
        </w:numPr>
      </w:pPr>
      <w:r>
        <w:t>Household appliances (microwaves, blenders, kettles).</w:t>
      </w:r>
    </w:p>
    <w:p w14:paraId="0000026F" w14:textId="77777777" w:rsidR="00D24D63" w:rsidRDefault="001A3940">
      <w:pPr>
        <w:numPr>
          <w:ilvl w:val="0"/>
          <w:numId w:val="17"/>
        </w:numPr>
      </w:pPr>
      <w:r>
        <w:t>Consumer electronics (phones, laptops, printers, earbuds/headphones).</w:t>
      </w:r>
    </w:p>
    <w:p w14:paraId="00000270" w14:textId="77777777" w:rsidR="00D24D63" w:rsidRDefault="001A3940">
      <w:pPr>
        <w:numPr>
          <w:ilvl w:val="0"/>
          <w:numId w:val="17"/>
        </w:numPr>
        <w:spacing w:after="240"/>
      </w:pPr>
      <w:r>
        <w:t>Critical raw material recovery, design for durability, repair, reuse, and remanufacture.</w:t>
      </w:r>
    </w:p>
    <w:p w14:paraId="00000271" w14:textId="77777777" w:rsidR="00D24D63" w:rsidRDefault="001A3940">
      <w:pPr>
        <w:spacing w:before="240"/>
      </w:pPr>
      <w:r>
        <w:t>Excluded from scope:</w:t>
      </w:r>
    </w:p>
    <w:p w14:paraId="00000272" w14:textId="77777777" w:rsidR="00D24D63" w:rsidRDefault="001A3940">
      <w:pPr>
        <w:numPr>
          <w:ilvl w:val="0"/>
          <w:numId w:val="7"/>
        </w:numPr>
      </w:pPr>
      <w:r>
        <w:t>Industrial-scale equipment and heavy machinery.</w:t>
      </w:r>
    </w:p>
    <w:p w14:paraId="00000273" w14:textId="77777777" w:rsidR="00D24D63" w:rsidRDefault="001A3940">
      <w:pPr>
        <w:numPr>
          <w:ilvl w:val="0"/>
          <w:numId w:val="7"/>
        </w:numPr>
      </w:pPr>
      <w:r>
        <w:t>Military/defence electronics.</w:t>
      </w:r>
    </w:p>
    <w:p w14:paraId="00000274" w14:textId="77777777" w:rsidR="00D24D63" w:rsidRDefault="001A3940">
      <w:pPr>
        <w:numPr>
          <w:ilvl w:val="0"/>
          <w:numId w:val="7"/>
        </w:numPr>
        <w:spacing w:after="240"/>
      </w:pPr>
      <w:r>
        <w:t>Software and digital services without a material/equipment component.</w:t>
      </w:r>
    </w:p>
    <w:p w14:paraId="00000275" w14:textId="77777777" w:rsidR="00D24D63" w:rsidRDefault="001A3940">
      <w:pPr>
        <w:spacing w:before="280"/>
        <w:rPr>
          <w:b/>
          <w:bCs/>
        </w:rPr>
      </w:pPr>
      <w:r>
        <w:rPr>
          <w:b/>
          <w:bCs/>
        </w:rPr>
        <w:t>Transport</w:t>
      </w:r>
    </w:p>
    <w:p w14:paraId="00000276" w14:textId="77777777" w:rsidR="00D24D63" w:rsidRDefault="001A3940">
      <w:pPr>
        <w:rPr>
          <w:rFonts w:ascii="Arial" w:eastAsia="Arial" w:hAnsi="Arial" w:cs="Arial"/>
          <w:i/>
          <w:iCs/>
        </w:rPr>
      </w:pPr>
      <w:r>
        <w:t xml:space="preserve">Defined by Defra as </w:t>
      </w:r>
      <w:r>
        <w:rPr>
          <w:i/>
          <w:iCs/>
        </w:rPr>
        <w:t>“</w:t>
      </w:r>
      <w:r>
        <w:rPr>
          <w:rFonts w:ascii="Arial" w:eastAsia="Arial" w:hAnsi="Arial" w:cs="Arial"/>
          <w:i/>
          <w:iCs/>
        </w:rPr>
        <w:t>Transport can include systems and supply chains that move people and goods, from vehicles and infrastructure to materials and technologies behind them.”</w:t>
      </w:r>
    </w:p>
    <w:p w14:paraId="00000277" w14:textId="77777777" w:rsidR="00D24D63" w:rsidRDefault="001A3940">
      <w:pPr>
        <w:spacing w:before="280"/>
        <w:rPr>
          <w:b/>
          <w:bCs/>
        </w:rPr>
      </w:pPr>
      <w:r>
        <w:rPr>
          <w:rFonts w:ascii="Arial" w:eastAsia="Arial" w:hAnsi="Arial" w:cs="Arial"/>
        </w:rPr>
        <w:t>In scope:</w:t>
      </w:r>
    </w:p>
    <w:p w14:paraId="00000278" w14:textId="77777777" w:rsidR="00D24D63" w:rsidRDefault="001A3940">
      <w:pPr>
        <w:numPr>
          <w:ilvl w:val="0"/>
          <w:numId w:val="6"/>
        </w:numPr>
      </w:pPr>
      <w:r>
        <w:t>Light vehicles (cars, vans) as the main focus.</w:t>
      </w:r>
    </w:p>
    <w:p w14:paraId="00000279" w14:textId="77777777" w:rsidR="00D24D63" w:rsidRDefault="001A3940">
      <w:pPr>
        <w:numPr>
          <w:ilvl w:val="0"/>
          <w:numId w:val="6"/>
        </w:numPr>
      </w:pPr>
      <w:r>
        <w:t>Logistics systems, public transport vehicles, and associated materials/components (eg batteries).</w:t>
      </w:r>
    </w:p>
    <w:p w14:paraId="0000027A" w14:textId="77777777" w:rsidR="00D24D63" w:rsidRDefault="001A3940">
      <w:pPr>
        <w:numPr>
          <w:ilvl w:val="0"/>
          <w:numId w:val="6"/>
        </w:numPr>
      </w:pPr>
      <w:r>
        <w:t>Vehicle design for longevity, reuse/repair systems, remanufacturing of parts.</w:t>
      </w:r>
    </w:p>
    <w:p w14:paraId="0000027B" w14:textId="77777777" w:rsidR="00D24D63" w:rsidRDefault="001A3940">
      <w:r>
        <w:t>Excluded from scope:</w:t>
      </w:r>
    </w:p>
    <w:p w14:paraId="0000027C" w14:textId="77777777" w:rsidR="00D24D63" w:rsidRDefault="001A3940">
      <w:pPr>
        <w:numPr>
          <w:ilvl w:val="0"/>
          <w:numId w:val="15"/>
        </w:numPr>
      </w:pPr>
      <w:r>
        <w:t>Large-scale infrastructure (airports, ports, rail networks) unless tied to circular material/product use.</w:t>
      </w:r>
    </w:p>
    <w:p w14:paraId="0000027D" w14:textId="77777777" w:rsidR="00D24D63" w:rsidRDefault="001A3940">
      <w:pPr>
        <w:numPr>
          <w:ilvl w:val="0"/>
          <w:numId w:val="15"/>
        </w:numPr>
        <w:spacing w:after="240"/>
      </w:pPr>
      <w:r>
        <w:t>Aviation and shipping except where evidence clearly relates to transferable practices.</w:t>
      </w:r>
    </w:p>
    <w:p w14:paraId="0000027E" w14:textId="77777777" w:rsidR="00D24D63" w:rsidRDefault="001A3940">
      <w:pPr>
        <w:spacing w:before="280"/>
        <w:rPr>
          <w:b/>
          <w:bCs/>
        </w:rPr>
      </w:pPr>
      <w:r>
        <w:rPr>
          <w:b/>
          <w:bCs/>
        </w:rPr>
        <w:t>Textiles</w:t>
      </w:r>
    </w:p>
    <w:p w14:paraId="0000027F" w14:textId="77777777" w:rsidR="00D24D63" w:rsidRDefault="001A3940">
      <w:r>
        <w:t xml:space="preserve">Defined by Defra “as </w:t>
      </w:r>
      <w:r>
        <w:rPr>
          <w:rFonts w:ascii="Arial" w:eastAsia="Arial" w:hAnsi="Arial" w:cs="Arial"/>
        </w:rPr>
        <w:t>encompassing the entire value chain, including clothing, fibres, furniture and technical textiles, or where it is a major contributor to the final product.”</w:t>
      </w:r>
    </w:p>
    <w:p w14:paraId="00000280" w14:textId="77777777" w:rsidR="00D24D63" w:rsidRDefault="001A3940">
      <w:pPr>
        <w:spacing w:before="240"/>
      </w:pPr>
      <w:r>
        <w:t>In scope:</w:t>
      </w:r>
    </w:p>
    <w:p w14:paraId="00000281" w14:textId="77777777" w:rsidR="00D24D63" w:rsidRDefault="001A3940">
      <w:pPr>
        <w:numPr>
          <w:ilvl w:val="0"/>
          <w:numId w:val="5"/>
        </w:numPr>
      </w:pPr>
      <w:r>
        <w:lastRenderedPageBreak/>
        <w:t>Apparel, home textiles, technical textiles (eg. automotive, medical), furniture textiles.</w:t>
      </w:r>
    </w:p>
    <w:p w14:paraId="00000282" w14:textId="77777777" w:rsidR="00D24D63" w:rsidRDefault="001A3940">
      <w:pPr>
        <w:numPr>
          <w:ilvl w:val="0"/>
          <w:numId w:val="5"/>
        </w:numPr>
        <w:spacing w:after="240"/>
      </w:pPr>
      <w:r>
        <w:t>Fibre innovation, reuse/resale, repair, remanufacturing, and recycling avoidance.</w:t>
      </w:r>
    </w:p>
    <w:p w14:paraId="00000283" w14:textId="77777777" w:rsidR="00D24D63" w:rsidRDefault="001A3940">
      <w:pPr>
        <w:spacing w:before="240"/>
      </w:pPr>
      <w:r>
        <w:t>Excluded from scope:</w:t>
      </w:r>
    </w:p>
    <w:p w14:paraId="00000284" w14:textId="77777777" w:rsidR="00D24D63" w:rsidRDefault="001A3940">
      <w:pPr>
        <w:numPr>
          <w:ilvl w:val="0"/>
          <w:numId w:val="19"/>
        </w:numPr>
      </w:pPr>
      <w:r>
        <w:t>Leather, paper, and other non-fibre materials unless directly blended with textiles.</w:t>
      </w:r>
    </w:p>
    <w:p w14:paraId="00000285" w14:textId="77777777" w:rsidR="00D24D63" w:rsidRDefault="001A3940">
      <w:pPr>
        <w:numPr>
          <w:ilvl w:val="0"/>
          <w:numId w:val="19"/>
        </w:numPr>
        <w:spacing w:after="240"/>
      </w:pPr>
      <w:r>
        <w:t>Broader fashion retail trends without a circular materials link.</w:t>
      </w:r>
    </w:p>
    <w:p w14:paraId="00000286" w14:textId="77777777" w:rsidR="00D24D63" w:rsidRDefault="001A3940">
      <w:pPr>
        <w:pStyle w:val="Heading2"/>
        <w:spacing w:before="240" w:after="240"/>
      </w:pPr>
      <w:bookmarkStart w:id="27" w:name="_heading=h.rayc2uwaz9ew" w:colFirst="0" w:colLast="0"/>
      <w:bookmarkEnd w:id="27"/>
      <w:r>
        <w:br w:type="page"/>
      </w:r>
    </w:p>
    <w:p w14:paraId="00000287" w14:textId="77777777" w:rsidR="00D24D63" w:rsidRDefault="001A3940">
      <w:pPr>
        <w:pStyle w:val="Heading2"/>
        <w:spacing w:before="240" w:after="240"/>
      </w:pPr>
      <w:bookmarkStart w:id="28" w:name="_heading=h.igm22b9f677" w:colFirst="0" w:colLast="0"/>
      <w:bookmarkEnd w:id="28"/>
      <w:r>
        <w:lastRenderedPageBreak/>
        <w:t>Annex 2. Definition of the Rs</w:t>
      </w:r>
    </w:p>
    <w:p w14:paraId="00000288" w14:textId="77777777" w:rsidR="00D24D63" w:rsidRDefault="001A3940">
      <w:pPr>
        <w:spacing w:before="240" w:after="240"/>
      </w:pPr>
      <w:r>
        <w:t>For consistency in this project, we propose using the 7 Rs above recycling (Refuse through Repurpose), with Recycle as a boundary marker for clarity.</w:t>
      </w:r>
    </w:p>
    <w:p w14:paraId="00000289" w14:textId="77777777" w:rsidR="00D24D63" w:rsidRDefault="001A3940">
      <w:pPr>
        <w:rPr>
          <w:sz w:val="20"/>
          <w:szCs w:val="20"/>
        </w:rPr>
      </w:pPr>
      <w:r>
        <w:rPr>
          <w:b/>
          <w:bCs/>
        </w:rPr>
        <w:t>Annex 2, Table 1.</w:t>
      </w:r>
      <w:r>
        <w:t xml:space="preserve"> Definitions of the Rs</w:t>
      </w:r>
    </w:p>
    <w:tbl>
      <w:tblPr>
        <w:tblStyle w:val="2"/>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6660"/>
      </w:tblGrid>
      <w:tr w:rsidR="00D24D63" w14:paraId="4583C6BE" w14:textId="77777777">
        <w:trPr>
          <w:tblHeader/>
        </w:trPr>
        <w:tc>
          <w:tcPr>
            <w:tcW w:w="2265" w:type="dxa"/>
            <w:shd w:val="clear" w:color="auto" w:fill="DAE9F7"/>
          </w:tcPr>
          <w:p w14:paraId="0000028A" w14:textId="77777777" w:rsidR="00D24D63" w:rsidRDefault="001A3940">
            <w:pPr>
              <w:rPr>
                <w:b/>
                <w:bCs/>
                <w:sz w:val="20"/>
                <w:szCs w:val="20"/>
              </w:rPr>
            </w:pPr>
            <w:r>
              <w:rPr>
                <w:b/>
                <w:bCs/>
                <w:sz w:val="20"/>
                <w:szCs w:val="20"/>
              </w:rPr>
              <w:t>R</w:t>
            </w:r>
          </w:p>
        </w:tc>
        <w:tc>
          <w:tcPr>
            <w:tcW w:w="6660" w:type="dxa"/>
            <w:shd w:val="clear" w:color="auto" w:fill="DAE9F7"/>
          </w:tcPr>
          <w:p w14:paraId="0000028B" w14:textId="77777777" w:rsidR="00D24D63" w:rsidRDefault="001A3940">
            <w:pPr>
              <w:rPr>
                <w:b/>
                <w:bCs/>
                <w:sz w:val="20"/>
                <w:szCs w:val="20"/>
              </w:rPr>
            </w:pPr>
            <w:r>
              <w:rPr>
                <w:b/>
                <w:bCs/>
                <w:sz w:val="20"/>
                <w:szCs w:val="20"/>
              </w:rPr>
              <w:t xml:space="preserve">Definition </w:t>
            </w:r>
          </w:p>
        </w:tc>
      </w:tr>
      <w:tr w:rsidR="00D24D63" w14:paraId="6B6C32C6" w14:textId="77777777">
        <w:trPr>
          <w:tblHeader/>
        </w:trPr>
        <w:tc>
          <w:tcPr>
            <w:tcW w:w="2265" w:type="dxa"/>
          </w:tcPr>
          <w:p w14:paraId="0000028C" w14:textId="77777777" w:rsidR="00D24D63" w:rsidRDefault="001A3940">
            <w:pPr>
              <w:rPr>
                <w:sz w:val="20"/>
                <w:szCs w:val="20"/>
              </w:rPr>
            </w:pPr>
            <w:r>
              <w:rPr>
                <w:sz w:val="20"/>
                <w:szCs w:val="20"/>
              </w:rPr>
              <w:t>Refuse</w:t>
            </w:r>
          </w:p>
        </w:tc>
        <w:tc>
          <w:tcPr>
            <w:tcW w:w="6660" w:type="dxa"/>
          </w:tcPr>
          <w:p w14:paraId="0000028D" w14:textId="77777777" w:rsidR="00D24D63" w:rsidRDefault="001A3940">
            <w:pPr>
              <w:rPr>
                <w:sz w:val="20"/>
                <w:szCs w:val="20"/>
              </w:rPr>
            </w:pPr>
            <w:r>
              <w:rPr>
                <w:sz w:val="20"/>
                <w:szCs w:val="20"/>
              </w:rPr>
              <w:t>Make product redundant by abandoning its function or by offering the same function with a radically different product (Kircher et al 2017)</w:t>
            </w:r>
          </w:p>
        </w:tc>
      </w:tr>
      <w:tr w:rsidR="00D24D63" w14:paraId="30E4C846" w14:textId="77777777">
        <w:trPr>
          <w:tblHeader/>
        </w:trPr>
        <w:tc>
          <w:tcPr>
            <w:tcW w:w="2265" w:type="dxa"/>
          </w:tcPr>
          <w:p w14:paraId="0000028E" w14:textId="77777777" w:rsidR="00D24D63" w:rsidRDefault="001A3940">
            <w:pPr>
              <w:rPr>
                <w:sz w:val="20"/>
                <w:szCs w:val="20"/>
              </w:rPr>
            </w:pPr>
            <w:r>
              <w:rPr>
                <w:sz w:val="20"/>
                <w:szCs w:val="20"/>
              </w:rPr>
              <w:t>Reduce</w:t>
            </w:r>
          </w:p>
        </w:tc>
        <w:tc>
          <w:tcPr>
            <w:tcW w:w="6660" w:type="dxa"/>
          </w:tcPr>
          <w:p w14:paraId="0000028F" w14:textId="77777777" w:rsidR="00D24D63" w:rsidRDefault="001A3940">
            <w:pPr>
              <w:rPr>
                <w:sz w:val="20"/>
                <w:szCs w:val="20"/>
              </w:rPr>
            </w:pPr>
            <w:r>
              <w:rPr>
                <w:sz w:val="20"/>
                <w:szCs w:val="20"/>
              </w:rPr>
              <w:t>Increase efficiency in product manufacture or use by consuming fewer natural resources and materials (Kircher et al 2017)</w:t>
            </w:r>
          </w:p>
        </w:tc>
      </w:tr>
      <w:tr w:rsidR="00D24D63" w14:paraId="53E3DFF3" w14:textId="77777777">
        <w:trPr>
          <w:tblHeader/>
        </w:trPr>
        <w:tc>
          <w:tcPr>
            <w:tcW w:w="2265" w:type="dxa"/>
          </w:tcPr>
          <w:p w14:paraId="00000290" w14:textId="77777777" w:rsidR="00D24D63" w:rsidRDefault="001A3940">
            <w:pPr>
              <w:rPr>
                <w:sz w:val="20"/>
                <w:szCs w:val="20"/>
              </w:rPr>
            </w:pPr>
            <w:r>
              <w:rPr>
                <w:sz w:val="20"/>
                <w:szCs w:val="20"/>
              </w:rPr>
              <w:t>Reuse</w:t>
            </w:r>
          </w:p>
        </w:tc>
        <w:tc>
          <w:tcPr>
            <w:tcW w:w="6660" w:type="dxa"/>
          </w:tcPr>
          <w:p w14:paraId="00000291" w14:textId="77777777" w:rsidR="00D24D63" w:rsidRDefault="001A3940">
            <w:pPr>
              <w:rPr>
                <w:sz w:val="20"/>
                <w:szCs w:val="20"/>
              </w:rPr>
            </w:pPr>
            <w:r>
              <w:rPr>
                <w:sz w:val="20"/>
                <w:szCs w:val="20"/>
              </w:rPr>
              <w:t>The repeated use of a product or packaging item for its originally intended purpose without significant modification. (Global Plastics Policy Centre, 2023)</w:t>
            </w:r>
          </w:p>
        </w:tc>
      </w:tr>
      <w:tr w:rsidR="00D24D63" w14:paraId="681341CB" w14:textId="77777777">
        <w:trPr>
          <w:tblHeader/>
        </w:trPr>
        <w:tc>
          <w:tcPr>
            <w:tcW w:w="2265" w:type="dxa"/>
          </w:tcPr>
          <w:p w14:paraId="00000292" w14:textId="77777777" w:rsidR="00D24D63" w:rsidRDefault="001A3940">
            <w:pPr>
              <w:rPr>
                <w:sz w:val="20"/>
                <w:szCs w:val="20"/>
              </w:rPr>
            </w:pPr>
            <w:r>
              <w:rPr>
                <w:sz w:val="20"/>
                <w:szCs w:val="20"/>
              </w:rPr>
              <w:t>Repair</w:t>
            </w:r>
          </w:p>
        </w:tc>
        <w:tc>
          <w:tcPr>
            <w:tcW w:w="6660" w:type="dxa"/>
          </w:tcPr>
          <w:p w14:paraId="00000293" w14:textId="77777777" w:rsidR="00D24D63" w:rsidRDefault="001A3940">
            <w:pPr>
              <w:rPr>
                <w:sz w:val="20"/>
                <w:szCs w:val="20"/>
              </w:rPr>
            </w:pPr>
            <w:r>
              <w:rPr>
                <w:sz w:val="20"/>
                <w:szCs w:val="20"/>
              </w:rPr>
              <w:t xml:space="preserve">Maintenance and return of a defective product to a usable state, so it can be used for with its original function (Global Plastics Policy Centre, 2024a) </w:t>
            </w:r>
          </w:p>
        </w:tc>
      </w:tr>
      <w:tr w:rsidR="00D24D63" w14:paraId="45D004C1" w14:textId="77777777">
        <w:trPr>
          <w:tblHeader/>
        </w:trPr>
        <w:tc>
          <w:tcPr>
            <w:tcW w:w="2265" w:type="dxa"/>
          </w:tcPr>
          <w:p w14:paraId="00000294" w14:textId="77777777" w:rsidR="00D24D63" w:rsidRDefault="001A3940">
            <w:pPr>
              <w:rPr>
                <w:sz w:val="20"/>
                <w:szCs w:val="20"/>
              </w:rPr>
            </w:pPr>
            <w:r>
              <w:rPr>
                <w:sz w:val="20"/>
                <w:szCs w:val="20"/>
              </w:rPr>
              <w:t>Refurbish</w:t>
            </w:r>
          </w:p>
        </w:tc>
        <w:tc>
          <w:tcPr>
            <w:tcW w:w="6660" w:type="dxa"/>
          </w:tcPr>
          <w:p w14:paraId="00000295" w14:textId="77777777" w:rsidR="00D24D63" w:rsidRDefault="001A3940">
            <w:pPr>
              <w:rPr>
                <w:sz w:val="20"/>
                <w:szCs w:val="20"/>
              </w:rPr>
            </w:pPr>
            <w:r>
              <w:rPr>
                <w:sz w:val="20"/>
                <w:szCs w:val="20"/>
              </w:rPr>
              <w:t>Return a product to good working order. This can include repairing or replacing components, updating specifications, and improving cosmetic appearance (Reike et al., 2018)</w:t>
            </w:r>
          </w:p>
        </w:tc>
      </w:tr>
      <w:tr w:rsidR="00D24D63" w14:paraId="58532B31" w14:textId="77777777">
        <w:trPr>
          <w:trHeight w:val="420"/>
          <w:tblHeader/>
        </w:trPr>
        <w:tc>
          <w:tcPr>
            <w:tcW w:w="2265" w:type="dxa"/>
          </w:tcPr>
          <w:p w14:paraId="00000296" w14:textId="77777777" w:rsidR="00D24D63" w:rsidRDefault="001A3940">
            <w:pPr>
              <w:rPr>
                <w:sz w:val="20"/>
                <w:szCs w:val="20"/>
              </w:rPr>
            </w:pPr>
            <w:r>
              <w:rPr>
                <w:sz w:val="20"/>
                <w:szCs w:val="20"/>
              </w:rPr>
              <w:t>Remanufacture</w:t>
            </w:r>
          </w:p>
        </w:tc>
        <w:tc>
          <w:tcPr>
            <w:tcW w:w="6660" w:type="dxa"/>
          </w:tcPr>
          <w:p w14:paraId="00000297" w14:textId="77777777" w:rsidR="00D24D63" w:rsidRDefault="001A3940">
            <w:pPr>
              <w:rPr>
                <w:sz w:val="20"/>
                <w:szCs w:val="20"/>
              </w:rPr>
            </w:pPr>
            <w:r>
              <w:rPr>
                <w:sz w:val="20"/>
                <w:szCs w:val="20"/>
              </w:rPr>
              <w:t>Re‑engineer products and components to as‑new condition with the same, or improved, level of performance as a newly manufactured one (Ellen MacArthur Foundation, 2024).</w:t>
            </w:r>
          </w:p>
        </w:tc>
      </w:tr>
      <w:tr w:rsidR="00D24D63" w14:paraId="09ACD0CB" w14:textId="77777777">
        <w:tc>
          <w:tcPr>
            <w:tcW w:w="2265" w:type="dxa"/>
          </w:tcPr>
          <w:p w14:paraId="00000298" w14:textId="77777777" w:rsidR="00D24D63" w:rsidRDefault="001A3940">
            <w:pPr>
              <w:rPr>
                <w:sz w:val="20"/>
                <w:szCs w:val="20"/>
              </w:rPr>
            </w:pPr>
            <w:r>
              <w:rPr>
                <w:sz w:val="20"/>
                <w:szCs w:val="20"/>
              </w:rPr>
              <w:t>Repurpose</w:t>
            </w:r>
          </w:p>
        </w:tc>
        <w:tc>
          <w:tcPr>
            <w:tcW w:w="6660" w:type="dxa"/>
          </w:tcPr>
          <w:p w14:paraId="00000299" w14:textId="77777777" w:rsidR="00D24D63" w:rsidRDefault="001A3940">
            <w:pPr>
              <w:rPr>
                <w:sz w:val="20"/>
                <w:szCs w:val="20"/>
              </w:rPr>
            </w:pPr>
            <w:r>
              <w:rPr>
                <w:sz w:val="20"/>
                <w:szCs w:val="20"/>
              </w:rPr>
              <w:t>Use discarded product or its parts in a new product with a different function (Kircher et al., 2017)</w:t>
            </w:r>
          </w:p>
        </w:tc>
      </w:tr>
      <w:tr w:rsidR="00D24D63" w14:paraId="45D2B4FE" w14:textId="77777777">
        <w:trPr>
          <w:trHeight w:val="465"/>
        </w:trPr>
        <w:tc>
          <w:tcPr>
            <w:tcW w:w="2265" w:type="dxa"/>
          </w:tcPr>
          <w:p w14:paraId="0000029A" w14:textId="77777777" w:rsidR="00D24D63" w:rsidRDefault="001A3940">
            <w:pPr>
              <w:rPr>
                <w:sz w:val="20"/>
                <w:szCs w:val="20"/>
              </w:rPr>
            </w:pPr>
            <w:r>
              <w:rPr>
                <w:sz w:val="20"/>
                <w:szCs w:val="20"/>
              </w:rPr>
              <w:t xml:space="preserve">Recycle </w:t>
            </w:r>
            <w:r>
              <w:rPr>
                <w:i/>
                <w:iCs/>
                <w:sz w:val="20"/>
                <w:szCs w:val="20"/>
              </w:rPr>
              <w:t>(boundary point)</w:t>
            </w:r>
          </w:p>
        </w:tc>
        <w:tc>
          <w:tcPr>
            <w:tcW w:w="6660" w:type="dxa"/>
          </w:tcPr>
          <w:p w14:paraId="0000029B" w14:textId="77777777" w:rsidR="00D24D63" w:rsidRDefault="001A3940">
            <w:pPr>
              <w:rPr>
                <w:sz w:val="20"/>
                <w:szCs w:val="20"/>
              </w:rPr>
            </w:pPr>
            <w:r>
              <w:rPr>
                <w:sz w:val="20"/>
                <w:szCs w:val="20"/>
              </w:rPr>
              <w:t>A resource recovery method involving the collection and treatment of a waste product for use as a raw material in the manufacture of the same or another product (Ellen MacArthur Foundation, n.d.).</w:t>
            </w:r>
          </w:p>
        </w:tc>
      </w:tr>
    </w:tbl>
    <w:p w14:paraId="0000029C" w14:textId="77777777" w:rsidR="00D24D63" w:rsidRDefault="00D24D63"/>
    <w:p w14:paraId="0000029D" w14:textId="77777777" w:rsidR="00D24D63" w:rsidRDefault="001A3940">
      <w:pPr>
        <w:pStyle w:val="Heading1"/>
      </w:pPr>
      <w:bookmarkStart w:id="29" w:name="_heading=h.huvce8gx6594" w:colFirst="0" w:colLast="0"/>
      <w:bookmarkEnd w:id="29"/>
      <w:r>
        <w:br w:type="page"/>
      </w:r>
    </w:p>
    <w:p w14:paraId="0000029E" w14:textId="77777777" w:rsidR="00D24D63" w:rsidRDefault="001A3940">
      <w:pPr>
        <w:pStyle w:val="Heading2"/>
      </w:pPr>
      <w:bookmarkStart w:id="30" w:name="_heading=h.kv6acb4iyphu" w:colFirst="0" w:colLast="0"/>
      <w:bookmarkEnd w:id="30"/>
      <w:r>
        <w:lastRenderedPageBreak/>
        <w:t>Annex 3. Definition of intervention types</w:t>
      </w:r>
    </w:p>
    <w:p w14:paraId="0000029F" w14:textId="77777777" w:rsidR="00D24D63" w:rsidRDefault="00D24D63"/>
    <w:p w14:paraId="000002A0" w14:textId="77777777" w:rsidR="00D24D63" w:rsidRDefault="001A3940">
      <w:r>
        <w:t>Interventions identified through the mapping were grouped into seven categories to capture the different ways circularity is being advanced. These categories reflect whether the intervention primarily targets products, technologies, systems, business models, operations, policies, behaviours, or pre-commercial research.</w:t>
      </w:r>
    </w:p>
    <w:p w14:paraId="000002A1" w14:textId="77777777" w:rsidR="00D24D63" w:rsidRDefault="00D24D63"/>
    <w:p w14:paraId="000002A2" w14:textId="77777777" w:rsidR="00D24D63" w:rsidRDefault="001A3940">
      <w:r>
        <w:rPr>
          <w:b/>
          <w:bCs/>
        </w:rPr>
        <w:t>Annex 3, Table 1</w:t>
      </w:r>
      <w:r>
        <w:t>. Definitions of intervention types with examples from dataset</w:t>
      </w:r>
    </w:p>
    <w:tbl>
      <w:tblPr>
        <w:tblStyle w:val="1"/>
        <w:tblW w:w="9025" w:type="dxa"/>
        <w:tblBorders>
          <w:top w:val="nil"/>
          <w:left w:val="nil"/>
          <w:bottom w:val="nil"/>
          <w:right w:val="nil"/>
          <w:insideH w:val="nil"/>
          <w:insideV w:val="nil"/>
        </w:tblBorders>
        <w:tblLayout w:type="fixed"/>
        <w:tblLook w:val="0600" w:firstRow="0" w:lastRow="0" w:firstColumn="0" w:lastColumn="0" w:noHBand="1" w:noVBand="1"/>
      </w:tblPr>
      <w:tblGrid>
        <w:gridCol w:w="2142"/>
        <w:gridCol w:w="3673"/>
        <w:gridCol w:w="3210"/>
      </w:tblGrid>
      <w:tr w:rsidR="00D24D63" w14:paraId="3F76456C" w14:textId="77777777">
        <w:trPr>
          <w:trHeight w:val="515"/>
        </w:trPr>
        <w:tc>
          <w:tcPr>
            <w:tcW w:w="2142"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00002A3" w14:textId="77777777" w:rsidR="00D24D63" w:rsidRDefault="001A3940">
            <w:pPr>
              <w:jc w:val="left"/>
              <w:rPr>
                <w:b/>
                <w:bCs/>
                <w:sz w:val="18"/>
                <w:szCs w:val="18"/>
              </w:rPr>
            </w:pPr>
            <w:r>
              <w:rPr>
                <w:b/>
                <w:bCs/>
                <w:sz w:val="18"/>
                <w:szCs w:val="18"/>
              </w:rPr>
              <w:t>Category</w:t>
            </w:r>
          </w:p>
        </w:tc>
        <w:tc>
          <w:tcPr>
            <w:tcW w:w="3673"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00002A4" w14:textId="77777777" w:rsidR="00D24D63" w:rsidRDefault="001A3940">
            <w:pPr>
              <w:jc w:val="left"/>
              <w:rPr>
                <w:b/>
                <w:bCs/>
                <w:sz w:val="18"/>
                <w:szCs w:val="18"/>
              </w:rPr>
            </w:pPr>
            <w:r>
              <w:rPr>
                <w:b/>
                <w:bCs/>
                <w:sz w:val="18"/>
                <w:szCs w:val="18"/>
              </w:rPr>
              <w:t>Definition</w:t>
            </w:r>
          </w:p>
        </w:tc>
        <w:tc>
          <w:tcPr>
            <w:tcW w:w="3210" w:type="dxa"/>
            <w:tcBorders>
              <w:top w:val="single" w:sz="4" w:space="0" w:color="CCCCCC"/>
              <w:left w:val="single" w:sz="4" w:space="0" w:color="CCCCCC"/>
              <w:bottom w:val="single" w:sz="4" w:space="0" w:color="CCCCCC"/>
              <w:right w:val="single" w:sz="4" w:space="0" w:color="CCCCCC"/>
            </w:tcBorders>
            <w:shd w:val="clear" w:color="auto" w:fill="CFE2F3"/>
            <w:tcMar>
              <w:top w:w="100" w:type="dxa"/>
              <w:left w:w="100" w:type="dxa"/>
              <w:bottom w:w="100" w:type="dxa"/>
              <w:right w:w="100" w:type="dxa"/>
            </w:tcMar>
          </w:tcPr>
          <w:p w14:paraId="000002A5" w14:textId="77777777" w:rsidR="00D24D63" w:rsidRDefault="001A3940">
            <w:pPr>
              <w:jc w:val="left"/>
              <w:rPr>
                <w:b/>
                <w:bCs/>
                <w:sz w:val="18"/>
                <w:szCs w:val="18"/>
              </w:rPr>
            </w:pPr>
            <w:r>
              <w:rPr>
                <w:b/>
                <w:bCs/>
                <w:sz w:val="18"/>
                <w:szCs w:val="18"/>
              </w:rPr>
              <w:t>Examples from dataset (see framework of interventions)</w:t>
            </w:r>
          </w:p>
        </w:tc>
      </w:tr>
      <w:tr w:rsidR="00D24D63" w14:paraId="37520F36" w14:textId="77777777">
        <w:trPr>
          <w:trHeight w:val="1050"/>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6" w14:textId="77777777" w:rsidR="00D24D63" w:rsidRDefault="001A3940">
            <w:pPr>
              <w:spacing w:line="240" w:lineRule="auto"/>
              <w:jc w:val="left"/>
              <w:rPr>
                <w:b/>
                <w:bCs/>
                <w:sz w:val="18"/>
                <w:szCs w:val="18"/>
              </w:rPr>
            </w:pPr>
            <w:r>
              <w:rPr>
                <w:b/>
                <w:bCs/>
                <w:sz w:val="18"/>
                <w:szCs w:val="18"/>
              </w:rPr>
              <w:t>Product innovation</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7" w14:textId="77777777" w:rsidR="00D24D63" w:rsidRDefault="001A3940">
            <w:pPr>
              <w:spacing w:line="240" w:lineRule="auto"/>
              <w:jc w:val="left"/>
              <w:rPr>
                <w:sz w:val="18"/>
                <w:szCs w:val="18"/>
              </w:rPr>
            </w:pPr>
            <w:r>
              <w:rPr>
                <w:sz w:val="18"/>
                <w:szCs w:val="18"/>
              </w:rPr>
              <w:t>Design or modification of a material, product, or packaging to reduce resource use, extend lifespan, or replace virgin materials.</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8" w14:textId="77777777" w:rsidR="00D24D63" w:rsidRDefault="001A3940">
            <w:pPr>
              <w:spacing w:line="240" w:lineRule="auto"/>
              <w:jc w:val="left"/>
              <w:rPr>
                <w:sz w:val="18"/>
                <w:szCs w:val="18"/>
              </w:rPr>
            </w:pPr>
            <w:r>
              <w:rPr>
                <w:sz w:val="18"/>
                <w:szCs w:val="18"/>
              </w:rPr>
              <w:t>Fussy refillable deodorant, Lucozade bottle redesign, Notpla seaweed packaging, reusable milk bottles.</w:t>
            </w:r>
          </w:p>
        </w:tc>
      </w:tr>
      <w:tr w:rsidR="00D24D63" w14:paraId="621E4F53" w14:textId="77777777">
        <w:trPr>
          <w:trHeight w:val="930"/>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9" w14:textId="77777777" w:rsidR="00D24D63" w:rsidRDefault="001A3940">
            <w:pPr>
              <w:spacing w:line="240" w:lineRule="auto"/>
              <w:jc w:val="left"/>
              <w:rPr>
                <w:b/>
                <w:bCs/>
                <w:sz w:val="18"/>
                <w:szCs w:val="18"/>
              </w:rPr>
            </w:pPr>
            <w:r>
              <w:rPr>
                <w:b/>
                <w:bCs/>
                <w:sz w:val="18"/>
                <w:szCs w:val="18"/>
              </w:rPr>
              <w:t>Technology development</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A" w14:textId="77777777" w:rsidR="00D24D63" w:rsidRDefault="001A3940">
            <w:pPr>
              <w:spacing w:line="240" w:lineRule="auto"/>
              <w:jc w:val="left"/>
              <w:rPr>
                <w:sz w:val="18"/>
                <w:szCs w:val="18"/>
              </w:rPr>
            </w:pPr>
            <w:r>
              <w:rPr>
                <w:sz w:val="18"/>
                <w:szCs w:val="18"/>
              </w:rPr>
              <w:t>Creation or application of new or improved technologies enabling circularity such as digital tools, AI, advanced recycling, or repair technologies.</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B" w14:textId="77777777" w:rsidR="00D24D63" w:rsidRDefault="001A3940">
            <w:pPr>
              <w:spacing w:line="240" w:lineRule="auto"/>
              <w:jc w:val="left"/>
              <w:rPr>
                <w:sz w:val="18"/>
                <w:szCs w:val="18"/>
              </w:rPr>
            </w:pPr>
            <w:r>
              <w:rPr>
                <w:sz w:val="18"/>
                <w:szCs w:val="18"/>
              </w:rPr>
              <w:t>Winnow food waste AI, enzyme-based textile recycling, hydrothermal recycling, robotics repair services.</w:t>
            </w:r>
          </w:p>
        </w:tc>
      </w:tr>
      <w:tr w:rsidR="00D24D63" w14:paraId="3FD612A5" w14:textId="77777777">
        <w:trPr>
          <w:trHeight w:val="525"/>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C" w14:textId="77777777" w:rsidR="00D24D63" w:rsidRDefault="001A3940">
            <w:pPr>
              <w:spacing w:line="240" w:lineRule="auto"/>
              <w:jc w:val="left"/>
              <w:rPr>
                <w:b/>
                <w:bCs/>
                <w:sz w:val="18"/>
                <w:szCs w:val="18"/>
              </w:rPr>
            </w:pPr>
            <w:r>
              <w:rPr>
                <w:b/>
                <w:bCs/>
                <w:sz w:val="18"/>
                <w:szCs w:val="18"/>
              </w:rPr>
              <w:t>System or infrastructure change</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D" w14:textId="77777777" w:rsidR="00D24D63" w:rsidRDefault="001A3940">
            <w:pPr>
              <w:spacing w:line="240" w:lineRule="auto"/>
              <w:jc w:val="left"/>
              <w:rPr>
                <w:sz w:val="18"/>
                <w:szCs w:val="18"/>
              </w:rPr>
            </w:pPr>
            <w:r>
              <w:rPr>
                <w:sz w:val="18"/>
                <w:szCs w:val="18"/>
              </w:rPr>
              <w:t>Establishment of new collection, return, or logistics systems to support circular flows.</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E" w14:textId="77777777" w:rsidR="00D24D63" w:rsidRDefault="001A3940">
            <w:pPr>
              <w:spacing w:line="240" w:lineRule="auto"/>
              <w:jc w:val="left"/>
              <w:rPr>
                <w:sz w:val="18"/>
                <w:szCs w:val="18"/>
              </w:rPr>
            </w:pPr>
            <w:r>
              <w:rPr>
                <w:sz w:val="18"/>
                <w:szCs w:val="18"/>
              </w:rPr>
              <w:t>Deposit return schemes, Loop reusable packaging system, JLR reuse of industrial equipment.</w:t>
            </w:r>
          </w:p>
        </w:tc>
      </w:tr>
      <w:tr w:rsidR="00D24D63" w14:paraId="12962893" w14:textId="77777777">
        <w:trPr>
          <w:trHeight w:val="885"/>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AF" w14:textId="77777777" w:rsidR="00D24D63" w:rsidRDefault="001A3940">
            <w:pPr>
              <w:spacing w:line="240" w:lineRule="auto"/>
              <w:jc w:val="left"/>
              <w:rPr>
                <w:b/>
                <w:bCs/>
                <w:sz w:val="18"/>
                <w:szCs w:val="18"/>
              </w:rPr>
            </w:pPr>
            <w:r>
              <w:rPr>
                <w:b/>
                <w:bCs/>
                <w:sz w:val="18"/>
                <w:szCs w:val="18"/>
              </w:rPr>
              <w:t>Business model innovation</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0" w14:textId="77777777" w:rsidR="00D24D63" w:rsidRDefault="001A3940">
            <w:pPr>
              <w:spacing w:line="240" w:lineRule="auto"/>
              <w:jc w:val="left"/>
              <w:rPr>
                <w:sz w:val="18"/>
                <w:szCs w:val="18"/>
              </w:rPr>
            </w:pPr>
            <w:r>
              <w:rPr>
                <w:sz w:val="18"/>
                <w:szCs w:val="18"/>
              </w:rPr>
              <w:t>Introduction of new ways to deliver value that promote reuse, sharing, or extended product life.</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1" w14:textId="77777777" w:rsidR="00D24D63" w:rsidRDefault="001A3940">
            <w:pPr>
              <w:spacing w:line="240" w:lineRule="auto"/>
              <w:jc w:val="left"/>
              <w:rPr>
                <w:sz w:val="18"/>
                <w:szCs w:val="18"/>
              </w:rPr>
            </w:pPr>
            <w:r>
              <w:rPr>
                <w:sz w:val="18"/>
                <w:szCs w:val="18"/>
              </w:rPr>
              <w:t>Hirestreet rental platform, Fat Lama lending marketplace, SOJO repair app, Toast Ale bread-to-beer model.</w:t>
            </w:r>
          </w:p>
        </w:tc>
      </w:tr>
      <w:tr w:rsidR="00D24D63" w14:paraId="259F40B5" w14:textId="77777777">
        <w:trPr>
          <w:trHeight w:val="315"/>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2" w14:textId="77777777" w:rsidR="00D24D63" w:rsidRDefault="001A3940">
            <w:pPr>
              <w:spacing w:line="240" w:lineRule="auto"/>
              <w:jc w:val="left"/>
              <w:rPr>
                <w:b/>
                <w:bCs/>
                <w:sz w:val="18"/>
                <w:szCs w:val="18"/>
              </w:rPr>
            </w:pPr>
            <w:r>
              <w:rPr>
                <w:b/>
                <w:bCs/>
                <w:sz w:val="18"/>
                <w:szCs w:val="18"/>
              </w:rPr>
              <w:t>Operational or process efficiency</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3" w14:textId="77777777" w:rsidR="00D24D63" w:rsidRDefault="001A3940">
            <w:pPr>
              <w:spacing w:line="240" w:lineRule="auto"/>
              <w:jc w:val="left"/>
              <w:rPr>
                <w:sz w:val="18"/>
                <w:szCs w:val="18"/>
              </w:rPr>
            </w:pPr>
            <w:r>
              <w:rPr>
                <w:sz w:val="18"/>
                <w:szCs w:val="18"/>
              </w:rPr>
              <w:t>Internal company or supply chain changes that reduce material use or waste without changing the end product.</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4" w14:textId="77777777" w:rsidR="00D24D63" w:rsidRDefault="001A3940">
            <w:pPr>
              <w:spacing w:line="240" w:lineRule="auto"/>
              <w:jc w:val="left"/>
              <w:rPr>
                <w:sz w:val="18"/>
                <w:szCs w:val="18"/>
              </w:rPr>
            </w:pPr>
            <w:r>
              <w:rPr>
                <w:sz w:val="18"/>
                <w:szCs w:val="18"/>
              </w:rPr>
              <w:t>Tesco 4R strategy, JLR industrial reuse drive, Sainsbury’s best-before label removal.</w:t>
            </w:r>
          </w:p>
        </w:tc>
      </w:tr>
      <w:tr w:rsidR="00D24D63" w14:paraId="69822729" w14:textId="77777777">
        <w:trPr>
          <w:trHeight w:val="765"/>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5" w14:textId="77777777" w:rsidR="00D24D63" w:rsidRDefault="001A3940">
            <w:pPr>
              <w:spacing w:line="240" w:lineRule="auto"/>
              <w:jc w:val="left"/>
              <w:rPr>
                <w:b/>
                <w:bCs/>
                <w:sz w:val="18"/>
                <w:szCs w:val="18"/>
              </w:rPr>
            </w:pPr>
            <w:r>
              <w:rPr>
                <w:b/>
                <w:bCs/>
                <w:sz w:val="18"/>
                <w:szCs w:val="18"/>
              </w:rPr>
              <w:t>Policy, regulation, or standard</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6" w14:textId="77777777" w:rsidR="00D24D63" w:rsidRDefault="001A3940">
            <w:pPr>
              <w:spacing w:line="240" w:lineRule="auto"/>
              <w:jc w:val="left"/>
              <w:rPr>
                <w:sz w:val="18"/>
                <w:szCs w:val="18"/>
              </w:rPr>
            </w:pPr>
            <w:r>
              <w:rPr>
                <w:sz w:val="18"/>
                <w:szCs w:val="18"/>
              </w:rPr>
              <w:t>Interventions that involve formal rules, voluntary standards, or industry agreements that drive circular practices.</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7" w14:textId="77777777" w:rsidR="00D24D63" w:rsidRDefault="001A3940">
            <w:pPr>
              <w:spacing w:line="240" w:lineRule="auto"/>
              <w:jc w:val="left"/>
              <w:rPr>
                <w:sz w:val="18"/>
                <w:szCs w:val="18"/>
              </w:rPr>
            </w:pPr>
            <w:r>
              <w:rPr>
                <w:sz w:val="18"/>
                <w:szCs w:val="18"/>
              </w:rPr>
              <w:t>Change in VRS beam design standards, government-funded reuse pilots, material passporting in construction.</w:t>
            </w:r>
          </w:p>
        </w:tc>
      </w:tr>
      <w:tr w:rsidR="00D24D63" w14:paraId="41252DB4" w14:textId="77777777">
        <w:trPr>
          <w:trHeight w:val="645"/>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8" w14:textId="77777777" w:rsidR="00D24D63" w:rsidRDefault="001A3940">
            <w:pPr>
              <w:spacing w:line="240" w:lineRule="auto"/>
              <w:jc w:val="left"/>
              <w:rPr>
                <w:b/>
                <w:bCs/>
                <w:sz w:val="18"/>
                <w:szCs w:val="18"/>
              </w:rPr>
            </w:pPr>
            <w:r>
              <w:rPr>
                <w:b/>
                <w:bCs/>
                <w:sz w:val="18"/>
                <w:szCs w:val="18"/>
              </w:rPr>
              <w:t>Consumer engagement and behaviour change</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9" w14:textId="77777777" w:rsidR="00D24D63" w:rsidRDefault="001A3940">
            <w:pPr>
              <w:spacing w:line="240" w:lineRule="auto"/>
              <w:jc w:val="left"/>
              <w:rPr>
                <w:sz w:val="18"/>
                <w:szCs w:val="18"/>
              </w:rPr>
            </w:pPr>
            <w:r>
              <w:rPr>
                <w:sz w:val="18"/>
                <w:szCs w:val="18"/>
              </w:rPr>
              <w:t>Campaigns, platforms, or programmes aimed at shifting consumer or community practices toward circular behaviours.</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A" w14:textId="77777777" w:rsidR="00D24D63" w:rsidRDefault="001A3940">
            <w:pPr>
              <w:spacing w:line="240" w:lineRule="auto"/>
              <w:jc w:val="left"/>
              <w:rPr>
                <w:sz w:val="18"/>
                <w:szCs w:val="18"/>
              </w:rPr>
            </w:pPr>
            <w:r>
              <w:rPr>
                <w:sz w:val="18"/>
                <w:szCs w:val="18"/>
              </w:rPr>
              <w:t>Refill campaign, Love Not Landfill, Restart repair cafes, repair training initiatives.</w:t>
            </w:r>
          </w:p>
        </w:tc>
      </w:tr>
      <w:tr w:rsidR="00D24D63" w14:paraId="4A573C1D" w14:textId="77777777">
        <w:trPr>
          <w:trHeight w:val="1125"/>
        </w:trPr>
        <w:tc>
          <w:tcPr>
            <w:tcW w:w="2142"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B" w14:textId="77777777" w:rsidR="00D24D63" w:rsidRDefault="001A3940">
            <w:pPr>
              <w:spacing w:line="240" w:lineRule="auto"/>
              <w:jc w:val="left"/>
              <w:rPr>
                <w:b/>
                <w:bCs/>
                <w:sz w:val="18"/>
                <w:szCs w:val="18"/>
              </w:rPr>
            </w:pPr>
            <w:r>
              <w:rPr>
                <w:b/>
                <w:bCs/>
                <w:sz w:val="18"/>
                <w:szCs w:val="18"/>
              </w:rPr>
              <w:t>Research and innovation (pre-commercial)</w:t>
            </w:r>
          </w:p>
        </w:tc>
        <w:tc>
          <w:tcPr>
            <w:tcW w:w="3673"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C" w14:textId="77777777" w:rsidR="00D24D63" w:rsidRDefault="001A3940">
            <w:pPr>
              <w:spacing w:line="240" w:lineRule="auto"/>
              <w:jc w:val="left"/>
              <w:rPr>
                <w:sz w:val="18"/>
                <w:szCs w:val="18"/>
              </w:rPr>
            </w:pPr>
            <w:r>
              <w:rPr>
                <w:sz w:val="18"/>
                <w:szCs w:val="18"/>
              </w:rPr>
              <w:t>Fundamental or early-stage research exploring new materials, technologies, or system designs with circular potential.</w:t>
            </w:r>
          </w:p>
        </w:tc>
        <w:tc>
          <w:tcPr>
            <w:tcW w:w="3210" w:type="dxa"/>
            <w:tcBorders>
              <w:top w:val="single" w:sz="4" w:space="0" w:color="CCCCCC"/>
              <w:left w:val="single" w:sz="4" w:space="0" w:color="CCCCCC"/>
              <w:bottom w:val="single" w:sz="4" w:space="0" w:color="CCCCCC"/>
              <w:right w:val="single" w:sz="4" w:space="0" w:color="CCCCCC"/>
            </w:tcBorders>
            <w:tcMar>
              <w:top w:w="100" w:type="dxa"/>
              <w:left w:w="100" w:type="dxa"/>
              <w:bottom w:w="100" w:type="dxa"/>
              <w:right w:w="100" w:type="dxa"/>
            </w:tcMar>
          </w:tcPr>
          <w:p w14:paraId="000002BD" w14:textId="77777777" w:rsidR="00D24D63" w:rsidRDefault="001A3940">
            <w:pPr>
              <w:spacing w:line="240" w:lineRule="auto"/>
              <w:jc w:val="left"/>
              <w:rPr>
                <w:sz w:val="18"/>
                <w:szCs w:val="18"/>
              </w:rPr>
            </w:pPr>
            <w:r>
              <w:rPr>
                <w:sz w:val="18"/>
                <w:szCs w:val="18"/>
              </w:rPr>
              <w:t>EPSRC sustainable construction project, enzyme valorisation of textile waste, EV battery remanufacture blueprint.</w:t>
            </w:r>
          </w:p>
        </w:tc>
      </w:tr>
    </w:tbl>
    <w:p w14:paraId="000002BE" w14:textId="77777777" w:rsidR="00D24D63" w:rsidRDefault="001A3940">
      <w:r>
        <w:br w:type="page"/>
      </w:r>
    </w:p>
    <w:p w14:paraId="000002BF" w14:textId="77777777" w:rsidR="00D24D63" w:rsidRDefault="001A3940">
      <w:pPr>
        <w:pStyle w:val="Heading2"/>
      </w:pPr>
      <w:bookmarkStart w:id="31" w:name="_heading=h.eejko8345mpe" w:colFirst="0" w:colLast="0"/>
      <w:bookmarkEnd w:id="31"/>
      <w:r>
        <w:lastRenderedPageBreak/>
        <w:t>Annex 4. Transcript of Copilot AI search</w:t>
      </w:r>
    </w:p>
    <w:p w14:paraId="000002C0" w14:textId="77777777" w:rsidR="00D24D63" w:rsidRDefault="00D24D63">
      <w:pPr>
        <w:rPr>
          <w:b/>
          <w:bCs/>
        </w:rPr>
      </w:pPr>
    </w:p>
    <w:p w14:paraId="000002C1" w14:textId="77777777" w:rsidR="00D24D63" w:rsidRDefault="001A3940">
      <w:r>
        <w:t>The following transcript documents the CoPilot AI-assisted searches conducted during the evidence mapping phase. It records the search parameters, prompts, and outputs used to identify relevant interventions by sector and R, providing transparency on how AI tools were integrated into the evidence collection process.</w:t>
      </w:r>
    </w:p>
    <w:p w14:paraId="000002C2" w14:textId="77777777" w:rsidR="00D24D63" w:rsidRDefault="00D24D63"/>
    <w:p w14:paraId="000002C3" w14:textId="77777777" w:rsidR="00D24D63" w:rsidRDefault="00D24D63">
      <w:pPr>
        <w:rPr>
          <w:b/>
          <w:bCs/>
        </w:rPr>
      </w:pPr>
    </w:p>
    <w:p w14:paraId="000002C4" w14:textId="77777777" w:rsidR="00D24D63" w:rsidRDefault="001A3940">
      <w:pPr>
        <w:rPr>
          <w:b/>
          <w:bCs/>
        </w:rPr>
      </w:pPr>
      <w:r>
        <w:rPr>
          <w:b/>
          <w:bCs/>
        </w:rPr>
        <w:t>User:</w:t>
      </w:r>
    </w:p>
    <w:p w14:paraId="000002C5" w14:textId="77777777" w:rsidR="00D24D63" w:rsidRDefault="001A3940">
      <w:pPr>
        <w:pBdr>
          <w:top w:val="nil"/>
          <w:left w:val="nil"/>
          <w:bottom w:val="nil"/>
          <w:right w:val="nil"/>
          <w:between w:val="nil"/>
        </w:pBdr>
        <w:ind w:firstLine="720"/>
      </w:pPr>
      <w:r>
        <w:t>“Im aiming to map the current circularity landscape and remaining evidence gaps for areas above recycling in the circularity ladder. The main aim is to conduct a review of circular developments in research and innovation settings that have been undertaken in areas above recycling in the circularity ladder to identify: Activities that have taken place across the five sectors outlined, evaluation of success of these activities. Consider activities that have occurred as a result of public and private investment</w:t>
      </w:r>
    </w:p>
    <w:p w14:paraId="000002C6" w14:textId="77777777" w:rsidR="00D24D63" w:rsidRDefault="001A3940">
      <w:pPr>
        <w:pBdr>
          <w:top w:val="nil"/>
          <w:left w:val="nil"/>
          <w:bottom w:val="nil"/>
          <w:right w:val="nil"/>
          <w:between w:val="nil"/>
        </w:pBdr>
      </w:pPr>
      <w:r>
        <w:t>From this overview, I would like to programme you to be able to find literature that showcases evidence of these activities. However I want you to only find evidence that fits in scope of the definitions of the sectors and "R's" that are above recycling. Please note that this is a UK only context. Please only find the literature for me to review. I will review the sources manually to ensure accuracy. Use academic literature, industry reports, case studies and UKRI reports. Include at least 10 examples. I would like the results grouped by sector, R-strategy”</w:t>
      </w:r>
    </w:p>
    <w:p w14:paraId="000002C7" w14:textId="77777777" w:rsidR="00D24D63" w:rsidRDefault="00D24D63">
      <w:pPr>
        <w:pBdr>
          <w:top w:val="nil"/>
          <w:left w:val="nil"/>
          <w:bottom w:val="nil"/>
          <w:right w:val="nil"/>
          <w:between w:val="nil"/>
        </w:pBdr>
      </w:pPr>
    </w:p>
    <w:p w14:paraId="000002C8" w14:textId="77777777" w:rsidR="00D24D63" w:rsidRDefault="00D24D63">
      <w:pPr>
        <w:pBdr>
          <w:top w:val="nil"/>
          <w:left w:val="nil"/>
          <w:bottom w:val="nil"/>
          <w:right w:val="nil"/>
          <w:between w:val="nil"/>
        </w:pBdr>
      </w:pPr>
    </w:p>
    <w:p w14:paraId="000002C9" w14:textId="77777777" w:rsidR="00D24D63" w:rsidRDefault="001A3940">
      <w:pPr>
        <w:pBdr>
          <w:top w:val="nil"/>
          <w:left w:val="nil"/>
          <w:bottom w:val="nil"/>
          <w:right w:val="nil"/>
          <w:between w:val="nil"/>
        </w:pBdr>
        <w:rPr>
          <w:b/>
          <w:bCs/>
        </w:rPr>
      </w:pPr>
      <w:r>
        <w:rPr>
          <w:b/>
          <w:bCs/>
        </w:rPr>
        <w:t>Copilot:</w:t>
      </w:r>
    </w:p>
    <w:p w14:paraId="000002CA" w14:textId="77777777" w:rsidR="00D24D63" w:rsidRDefault="001A3940">
      <w:pPr>
        <w:pBdr>
          <w:top w:val="nil"/>
          <w:left w:val="nil"/>
          <w:bottom w:val="nil"/>
          <w:right w:val="nil"/>
          <w:between w:val="nil"/>
        </w:pBdr>
        <w:ind w:firstLine="720"/>
      </w:pPr>
      <w:r>
        <w:t>“I’m ready to support you in mapping the UK’s circularity landscape above recycling, focusing on the five defined sectors and the R-strategies above recycling.</w:t>
      </w:r>
    </w:p>
    <w:p w14:paraId="000002CB" w14:textId="77777777" w:rsidR="00D24D63" w:rsidRDefault="001A3940">
      <w:pPr>
        <w:spacing w:before="240" w:after="240"/>
      </w:pPr>
      <w:r>
        <w:t>Just to confirm before you provide the definitions:</w:t>
      </w:r>
    </w:p>
    <w:p w14:paraId="000002CC" w14:textId="77777777" w:rsidR="00D24D63" w:rsidRDefault="001A3940">
      <w:pPr>
        <w:spacing w:before="280" w:after="80"/>
      </w:pPr>
      <w:r>
        <w:t>Scope Recap</w:t>
      </w:r>
    </w:p>
    <w:p w14:paraId="000002CD" w14:textId="77777777" w:rsidR="00D24D63" w:rsidRDefault="001A3940">
      <w:pPr>
        <w:numPr>
          <w:ilvl w:val="0"/>
          <w:numId w:val="23"/>
        </w:numPr>
        <w:spacing w:before="240"/>
        <w:jc w:val="left"/>
      </w:pPr>
      <w:r>
        <w:rPr>
          <w:b/>
          <w:bCs/>
        </w:rPr>
        <w:t>Geography</w:t>
      </w:r>
      <w:r>
        <w:t>: United Kingdom only</w:t>
      </w:r>
    </w:p>
    <w:p w14:paraId="000002CE" w14:textId="77777777" w:rsidR="00D24D63" w:rsidRDefault="001A3940">
      <w:pPr>
        <w:numPr>
          <w:ilvl w:val="0"/>
          <w:numId w:val="23"/>
        </w:numPr>
        <w:jc w:val="left"/>
      </w:pPr>
      <w:r>
        <w:rPr>
          <w:b/>
          <w:bCs/>
        </w:rPr>
        <w:t>Sectors</w:t>
      </w:r>
      <w:r>
        <w:t>: Agri-food, Built Environment, Chemicals and Plastics, Electrical and Electronic Equipment (EEE), Transport</w:t>
      </w:r>
    </w:p>
    <w:p w14:paraId="000002CF" w14:textId="77777777" w:rsidR="00D24D63" w:rsidRDefault="001A3940">
      <w:pPr>
        <w:numPr>
          <w:ilvl w:val="0"/>
          <w:numId w:val="23"/>
        </w:numPr>
        <w:jc w:val="left"/>
      </w:pPr>
      <w:r>
        <w:rPr>
          <w:b/>
          <w:bCs/>
        </w:rPr>
        <w:t>R-Strategies</w:t>
      </w:r>
      <w:r>
        <w:t xml:space="preserve">: Only those </w:t>
      </w:r>
      <w:r>
        <w:rPr>
          <w:i/>
          <w:iCs/>
        </w:rPr>
        <w:t>above recycling</w:t>
      </w:r>
      <w:r>
        <w:t xml:space="preserve"> in the circularity hierarchy:</w:t>
      </w:r>
    </w:p>
    <w:p w14:paraId="000002D0" w14:textId="77777777" w:rsidR="00D24D63" w:rsidRDefault="001A3940">
      <w:pPr>
        <w:numPr>
          <w:ilvl w:val="1"/>
          <w:numId w:val="23"/>
        </w:numPr>
        <w:jc w:val="left"/>
      </w:pPr>
      <w:r>
        <w:t>Refuse</w:t>
      </w:r>
    </w:p>
    <w:p w14:paraId="000002D1" w14:textId="77777777" w:rsidR="00D24D63" w:rsidRDefault="001A3940">
      <w:pPr>
        <w:numPr>
          <w:ilvl w:val="1"/>
          <w:numId w:val="23"/>
        </w:numPr>
        <w:jc w:val="left"/>
      </w:pPr>
      <w:r>
        <w:t>Reduce</w:t>
      </w:r>
    </w:p>
    <w:p w14:paraId="000002D2" w14:textId="77777777" w:rsidR="00D24D63" w:rsidRDefault="001A3940">
      <w:pPr>
        <w:numPr>
          <w:ilvl w:val="1"/>
          <w:numId w:val="23"/>
        </w:numPr>
        <w:jc w:val="left"/>
      </w:pPr>
      <w:r>
        <w:t>Reuse</w:t>
      </w:r>
    </w:p>
    <w:p w14:paraId="000002D3" w14:textId="77777777" w:rsidR="00D24D63" w:rsidRDefault="001A3940">
      <w:pPr>
        <w:numPr>
          <w:ilvl w:val="1"/>
          <w:numId w:val="23"/>
        </w:numPr>
        <w:jc w:val="left"/>
      </w:pPr>
      <w:r>
        <w:t>Repair</w:t>
      </w:r>
    </w:p>
    <w:p w14:paraId="000002D4" w14:textId="77777777" w:rsidR="00D24D63" w:rsidRDefault="001A3940">
      <w:pPr>
        <w:numPr>
          <w:ilvl w:val="1"/>
          <w:numId w:val="23"/>
        </w:numPr>
        <w:jc w:val="left"/>
      </w:pPr>
      <w:r>
        <w:t>Refurbish</w:t>
      </w:r>
    </w:p>
    <w:p w14:paraId="000002D5" w14:textId="77777777" w:rsidR="00D24D63" w:rsidRDefault="001A3940">
      <w:pPr>
        <w:numPr>
          <w:ilvl w:val="1"/>
          <w:numId w:val="23"/>
        </w:numPr>
        <w:jc w:val="left"/>
      </w:pPr>
      <w:r>
        <w:t>Remanufacture</w:t>
      </w:r>
    </w:p>
    <w:p w14:paraId="000002D6" w14:textId="77777777" w:rsidR="00D24D63" w:rsidRDefault="001A3940">
      <w:pPr>
        <w:numPr>
          <w:ilvl w:val="1"/>
          <w:numId w:val="23"/>
        </w:numPr>
        <w:jc w:val="left"/>
      </w:pPr>
      <w:r>
        <w:t>Repurpose</w:t>
      </w:r>
    </w:p>
    <w:p w14:paraId="000002D7" w14:textId="77777777" w:rsidR="00D24D63" w:rsidRDefault="001A3940">
      <w:pPr>
        <w:numPr>
          <w:ilvl w:val="0"/>
          <w:numId w:val="23"/>
        </w:numPr>
        <w:jc w:val="left"/>
      </w:pPr>
      <w:r>
        <w:rPr>
          <w:b/>
          <w:bCs/>
        </w:rPr>
        <w:t>Sources</w:t>
      </w:r>
      <w:r>
        <w:t>: Academic literature, UKRI reports, industry reports, and case studies</w:t>
      </w:r>
    </w:p>
    <w:p w14:paraId="000002D8" w14:textId="77777777" w:rsidR="00D24D63" w:rsidRDefault="001A3940">
      <w:pPr>
        <w:numPr>
          <w:ilvl w:val="0"/>
          <w:numId w:val="23"/>
        </w:numPr>
        <w:jc w:val="left"/>
      </w:pPr>
      <w:r>
        <w:rPr>
          <w:b/>
          <w:bCs/>
        </w:rPr>
        <w:t>Exclusions</w:t>
      </w:r>
      <w:r>
        <w:t>: No recycling (mechanical or chemical), no international examples</w:t>
      </w:r>
    </w:p>
    <w:p w14:paraId="000002D9" w14:textId="77777777" w:rsidR="00D24D63" w:rsidRDefault="001A3940">
      <w:pPr>
        <w:numPr>
          <w:ilvl w:val="0"/>
          <w:numId w:val="23"/>
        </w:numPr>
        <w:jc w:val="left"/>
      </w:pPr>
      <w:r>
        <w:rPr>
          <w:b/>
          <w:bCs/>
        </w:rPr>
        <w:t>Output</w:t>
      </w:r>
      <w:r>
        <w:t>: At least 10 in-scope examples of circular activities in research and innovation settings, grouped by sector, R-strategy</w:t>
      </w:r>
    </w:p>
    <w:p w14:paraId="000002DA" w14:textId="77777777" w:rsidR="00D24D63" w:rsidRDefault="001A3940">
      <w:pPr>
        <w:numPr>
          <w:ilvl w:val="0"/>
          <w:numId w:val="23"/>
        </w:numPr>
        <w:spacing w:after="240"/>
        <w:jc w:val="left"/>
      </w:pPr>
      <w:r>
        <w:rPr>
          <w:b/>
          <w:bCs/>
        </w:rPr>
        <w:lastRenderedPageBreak/>
        <w:t>You will</w:t>
      </w:r>
      <w:r>
        <w:t>: Manually assess sources</w:t>
      </w:r>
    </w:p>
    <w:p w14:paraId="000002DB" w14:textId="77777777" w:rsidR="00D24D63" w:rsidRDefault="001A3940">
      <w:pPr>
        <w:spacing w:before="240" w:after="240"/>
      </w:pPr>
      <w:r>
        <w:t xml:space="preserve">Once you provide the </w:t>
      </w:r>
      <w:r>
        <w:rPr>
          <w:b/>
          <w:bCs/>
        </w:rPr>
        <w:t>sector and R-strategy definitions</w:t>
      </w:r>
      <w:r>
        <w:t>, I’ll wait for your instruction to begin the search.”</w:t>
      </w:r>
    </w:p>
    <w:p w14:paraId="000002DC" w14:textId="77777777" w:rsidR="00D24D63" w:rsidRDefault="00D24D63">
      <w:pPr>
        <w:spacing w:before="240" w:after="240"/>
      </w:pPr>
    </w:p>
    <w:p w14:paraId="000002DD" w14:textId="77777777" w:rsidR="00D24D63" w:rsidRDefault="001A3940">
      <w:pPr>
        <w:spacing w:before="240" w:after="240"/>
        <w:rPr>
          <w:b/>
          <w:bCs/>
        </w:rPr>
      </w:pPr>
      <w:r>
        <w:rPr>
          <w:b/>
          <w:bCs/>
        </w:rPr>
        <w:t>User:</w:t>
      </w:r>
    </w:p>
    <w:p w14:paraId="000002DE" w14:textId="77777777" w:rsidR="00D24D63" w:rsidRDefault="001A3940">
      <w:pPr>
        <w:spacing w:before="240" w:after="240"/>
        <w:ind w:firstLine="720"/>
      </w:pPr>
      <w:r>
        <w:t>[Input sector definitions]</w:t>
      </w:r>
    </w:p>
    <w:p w14:paraId="000002DF" w14:textId="77777777" w:rsidR="00D24D63" w:rsidRDefault="001A3940">
      <w:pPr>
        <w:spacing w:before="240" w:after="240"/>
        <w:rPr>
          <w:b/>
          <w:bCs/>
        </w:rPr>
      </w:pPr>
      <w:r>
        <w:rPr>
          <w:b/>
          <w:bCs/>
        </w:rPr>
        <w:t>Co-pilot:</w:t>
      </w:r>
    </w:p>
    <w:p w14:paraId="000002E0" w14:textId="77777777" w:rsidR="00D24D63" w:rsidRDefault="001A3940">
      <w:pPr>
        <w:spacing w:before="240" w:after="240"/>
        <w:ind w:firstLine="720"/>
      </w:pPr>
      <w:r>
        <w:t>“The sector definitions are now clearly captured and will guide the filtering of literature. Here's a quick confirmation of what I’ve locked in so far:</w:t>
      </w:r>
    </w:p>
    <w:p w14:paraId="000002E1" w14:textId="77777777" w:rsidR="00D24D63" w:rsidRDefault="001A3940">
      <w:pPr>
        <w:spacing w:before="240" w:after="240"/>
      </w:pPr>
      <w:r>
        <w:t xml:space="preserve">Sector Definitions </w:t>
      </w:r>
    </w:p>
    <w:p w14:paraId="000002E2" w14:textId="77777777" w:rsidR="00D24D63" w:rsidRDefault="001A3940">
      <w:pPr>
        <w:spacing w:before="240" w:after="240"/>
      </w:pPr>
      <w:r>
        <w:t>Each sector includes only in-scope activities and excludes broader or unrelated areas:</w:t>
      </w:r>
    </w:p>
    <w:p w14:paraId="000002E3" w14:textId="77777777" w:rsidR="00D24D63" w:rsidRDefault="001A3940">
      <w:pPr>
        <w:spacing w:before="240" w:after="240"/>
      </w:pPr>
      <w:r>
        <w:rPr>
          <w:b/>
          <w:bCs/>
        </w:rPr>
        <w:t>Agri-food:</w:t>
      </w:r>
      <w:r>
        <w:t xml:space="preserve"> Food production, processing, packaging, and distribution — excluding non-food biomass and unrelated land use.</w:t>
      </w:r>
    </w:p>
    <w:p w14:paraId="000002E4" w14:textId="77777777" w:rsidR="00D24D63" w:rsidRDefault="001A3940">
      <w:pPr>
        <w:spacing w:before="240" w:after="240"/>
      </w:pPr>
      <w:r>
        <w:rPr>
          <w:b/>
          <w:bCs/>
        </w:rPr>
        <w:t xml:space="preserve">Built Environment: </w:t>
      </w:r>
      <w:r>
        <w:t>Construction materials and products — excluding urban planning and housing policy.</w:t>
      </w:r>
    </w:p>
    <w:p w14:paraId="000002E5" w14:textId="77777777" w:rsidR="00D24D63" w:rsidRDefault="001A3940">
      <w:pPr>
        <w:spacing w:before="240" w:after="240"/>
      </w:pPr>
      <w:r>
        <w:rPr>
          <w:b/>
          <w:bCs/>
        </w:rPr>
        <w:t>Chemicals and Plastics:</w:t>
      </w:r>
      <w:r>
        <w:t xml:space="preserve"> Plastics and polymer-linked chemical processes — excluding general industrial chemistry and unrelated chemical sectors.</w:t>
      </w:r>
    </w:p>
    <w:p w14:paraId="000002E6" w14:textId="77777777" w:rsidR="00D24D63" w:rsidRDefault="001A3940">
      <w:pPr>
        <w:spacing w:before="240" w:after="240"/>
      </w:pPr>
      <w:r>
        <w:rPr>
          <w:b/>
          <w:bCs/>
        </w:rPr>
        <w:t xml:space="preserve">EEE: </w:t>
      </w:r>
      <w:r>
        <w:t>Household and consumer electronics — excluding industrial/military equipment and software-only services.</w:t>
      </w:r>
    </w:p>
    <w:p w14:paraId="000002E7" w14:textId="77777777" w:rsidR="00D24D63" w:rsidRDefault="001A3940">
      <w:pPr>
        <w:spacing w:before="240" w:after="240"/>
      </w:pPr>
      <w:r>
        <w:rPr>
          <w:b/>
          <w:bCs/>
        </w:rPr>
        <w:t>Transport:</w:t>
      </w:r>
      <w:r>
        <w:t xml:space="preserve"> Light vehicles, logistics, and vehicle components — excluding aviation, shipping, and large-scale infrastructure unless clearly tied to circularity.</w:t>
      </w:r>
    </w:p>
    <w:p w14:paraId="000002E8" w14:textId="77777777" w:rsidR="00D24D63" w:rsidRDefault="001A3940">
      <w:pPr>
        <w:spacing w:before="240" w:after="240"/>
      </w:pPr>
      <w:r>
        <w:rPr>
          <w:b/>
          <w:bCs/>
        </w:rPr>
        <w:t>Textiles:</w:t>
      </w:r>
      <w:r>
        <w:t xml:space="preserve"> Apparel, home, technical, and furniture textiles — excluding leather, paper, and fashion trends without material links.</w:t>
      </w:r>
    </w:p>
    <w:p w14:paraId="000002E9" w14:textId="77777777" w:rsidR="00D24D63" w:rsidRDefault="001A3940">
      <w:pPr>
        <w:spacing w:before="240" w:after="240"/>
      </w:pPr>
      <w:r>
        <w:t>Next, I’ll wait for your R-strategy definitions (Refuse, Reduce, Reuse, Repair, Refurbish, Remanufacture, Repurpose).”</w:t>
      </w:r>
    </w:p>
    <w:p w14:paraId="000002EA" w14:textId="77777777" w:rsidR="00D24D63" w:rsidRDefault="001A3940">
      <w:pPr>
        <w:spacing w:before="240" w:after="240"/>
        <w:rPr>
          <w:b/>
          <w:bCs/>
        </w:rPr>
      </w:pPr>
      <w:r>
        <w:rPr>
          <w:b/>
          <w:bCs/>
        </w:rPr>
        <w:t xml:space="preserve">User: </w:t>
      </w:r>
    </w:p>
    <w:p w14:paraId="000002EB" w14:textId="77777777" w:rsidR="00D24D63" w:rsidRDefault="001A3940">
      <w:pPr>
        <w:spacing w:before="240" w:after="240"/>
        <w:ind w:firstLine="720"/>
      </w:pPr>
      <w:r>
        <w:t>[Input R definitions]</w:t>
      </w:r>
    </w:p>
    <w:p w14:paraId="000002EC" w14:textId="77777777" w:rsidR="00D24D63" w:rsidRDefault="001A3940">
      <w:pPr>
        <w:spacing w:before="240" w:after="240"/>
        <w:rPr>
          <w:b/>
          <w:bCs/>
        </w:rPr>
      </w:pPr>
      <w:r>
        <w:rPr>
          <w:b/>
          <w:bCs/>
        </w:rPr>
        <w:t>Co-pilot:</w:t>
      </w:r>
    </w:p>
    <w:p w14:paraId="000002ED" w14:textId="77777777" w:rsidR="00D24D63" w:rsidRDefault="001A3940">
      <w:pPr>
        <w:spacing w:before="240" w:after="240"/>
        <w:ind w:firstLine="720"/>
      </w:pPr>
      <w:r>
        <w:t>“Perfect — I’ve now captured your full framework:</w:t>
      </w:r>
    </w:p>
    <w:p w14:paraId="000002EE" w14:textId="77777777" w:rsidR="00D24D63" w:rsidRDefault="001A3940">
      <w:pPr>
        <w:spacing w:before="280" w:after="80"/>
      </w:pPr>
      <w:r>
        <w:lastRenderedPageBreak/>
        <w:t>Summary of Search Parameters</w:t>
      </w:r>
    </w:p>
    <w:p w14:paraId="000002EF" w14:textId="77777777" w:rsidR="00D24D63" w:rsidRDefault="001A3940">
      <w:pPr>
        <w:numPr>
          <w:ilvl w:val="0"/>
          <w:numId w:val="18"/>
        </w:numPr>
        <w:spacing w:before="240"/>
        <w:jc w:val="left"/>
      </w:pPr>
      <w:r>
        <w:rPr>
          <w:b/>
          <w:bCs/>
        </w:rPr>
        <w:t>Geography</w:t>
      </w:r>
      <w:r>
        <w:t>: UK only</w:t>
      </w:r>
    </w:p>
    <w:p w14:paraId="000002F0" w14:textId="77777777" w:rsidR="00D24D63" w:rsidRDefault="001A3940">
      <w:pPr>
        <w:numPr>
          <w:ilvl w:val="0"/>
          <w:numId w:val="18"/>
        </w:numPr>
        <w:jc w:val="left"/>
      </w:pPr>
      <w:r>
        <w:rPr>
          <w:b/>
          <w:bCs/>
        </w:rPr>
        <w:t>Sectors</w:t>
      </w:r>
      <w:r>
        <w:t>: Agri-food, Built Environment, Chemicals &amp; Plastics, EEE, Transport, Textiles</w:t>
      </w:r>
    </w:p>
    <w:p w14:paraId="000002F1" w14:textId="77777777" w:rsidR="00D24D63" w:rsidRDefault="001A3940">
      <w:pPr>
        <w:numPr>
          <w:ilvl w:val="0"/>
          <w:numId w:val="18"/>
        </w:numPr>
        <w:jc w:val="left"/>
      </w:pPr>
      <w:r>
        <w:rPr>
          <w:b/>
          <w:bCs/>
        </w:rPr>
        <w:t>R-Strategies</w:t>
      </w:r>
      <w:r>
        <w:t>: Refuse, Reduce, Reuse, Repair, Refurbish, Remanufacture, Repurpose</w:t>
      </w:r>
    </w:p>
    <w:p w14:paraId="000002F2" w14:textId="77777777" w:rsidR="00D24D63" w:rsidRDefault="001A3940">
      <w:pPr>
        <w:numPr>
          <w:ilvl w:val="0"/>
          <w:numId w:val="18"/>
        </w:numPr>
        <w:jc w:val="left"/>
      </w:pPr>
      <w:r>
        <w:rPr>
          <w:b/>
          <w:bCs/>
        </w:rPr>
        <w:t>Sources</w:t>
      </w:r>
      <w:r>
        <w:t>: Academic literature, UKRI reports, industry reports, case studies</w:t>
      </w:r>
    </w:p>
    <w:p w14:paraId="000002F3" w14:textId="77777777" w:rsidR="00D24D63" w:rsidRDefault="001A3940">
      <w:pPr>
        <w:numPr>
          <w:ilvl w:val="0"/>
          <w:numId w:val="18"/>
        </w:numPr>
        <w:jc w:val="left"/>
      </w:pPr>
      <w:r>
        <w:rPr>
          <w:b/>
          <w:bCs/>
        </w:rPr>
        <w:t>Output</w:t>
      </w:r>
      <w:r>
        <w:t>: At least 10 examples of in-scope circular activities in research and innovation settings grouped by sector, R-strategy</w:t>
      </w:r>
    </w:p>
    <w:p w14:paraId="000002F4" w14:textId="77777777" w:rsidR="00D24D63" w:rsidRDefault="001A3940">
      <w:pPr>
        <w:numPr>
          <w:ilvl w:val="0"/>
          <w:numId w:val="18"/>
        </w:numPr>
        <w:jc w:val="left"/>
      </w:pPr>
      <w:r>
        <w:rPr>
          <w:b/>
          <w:bCs/>
        </w:rPr>
        <w:t>You will</w:t>
      </w:r>
      <w:r>
        <w:t xml:space="preserve">: Manually assess sources </w:t>
      </w:r>
    </w:p>
    <w:p w14:paraId="000002F5" w14:textId="77777777" w:rsidR="00D24D63" w:rsidRDefault="001A3940">
      <w:pPr>
        <w:numPr>
          <w:ilvl w:val="0"/>
          <w:numId w:val="18"/>
        </w:numPr>
        <w:spacing w:after="240"/>
        <w:jc w:val="left"/>
      </w:pPr>
      <w:r>
        <w:rPr>
          <w:b/>
          <w:bCs/>
        </w:rPr>
        <w:t>I will</w:t>
      </w:r>
      <w:r>
        <w:t>: Only return literature and evidence that fits your scope”</w:t>
      </w:r>
    </w:p>
    <w:p w14:paraId="000002F6" w14:textId="77777777" w:rsidR="00D24D63" w:rsidRDefault="00D24D63">
      <w:pPr>
        <w:spacing w:before="240" w:after="240"/>
      </w:pPr>
    </w:p>
    <w:p w14:paraId="000002F7" w14:textId="77777777" w:rsidR="00D24D63" w:rsidRDefault="00D24D63">
      <w:pPr>
        <w:pBdr>
          <w:top w:val="nil"/>
          <w:left w:val="nil"/>
          <w:bottom w:val="nil"/>
          <w:right w:val="nil"/>
          <w:between w:val="nil"/>
        </w:pBdr>
      </w:pPr>
    </w:p>
    <w:sectPr w:rsidR="00D24D63">
      <w:footerReference w:type="default" r:id="rId26"/>
      <w:headerReference w:type="first" r:id="rId27"/>
      <w:footerReference w:type="first" r:id="rId28"/>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61923" w14:textId="77777777" w:rsidR="003418E7" w:rsidRDefault="003418E7">
      <w:pPr>
        <w:spacing w:line="240" w:lineRule="auto"/>
      </w:pPr>
      <w:r>
        <w:separator/>
      </w:r>
    </w:p>
  </w:endnote>
  <w:endnote w:type="continuationSeparator" w:id="0">
    <w:p w14:paraId="0639D3BE" w14:textId="77777777" w:rsidR="003418E7" w:rsidRDefault="00341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34342F0-6C66-49B2-81C2-0A7C2256B1EC}"/>
    <w:embedBold r:id="rId2" w:fontKey="{58F28120-D274-4FAB-A81E-E247C3090300}"/>
    <w:embedItalic r:id="rId3" w:fontKey="{2E53E0E8-A6AA-4803-B274-373230D9223E}"/>
    <w:embedBoldItalic r:id="rId4" w:fontKey="{D0CE4F48-D3A8-41B9-8DF1-806421715321}"/>
  </w:font>
  <w:font w:name="Play">
    <w:altName w:val="Calibri"/>
    <w:charset w:val="00"/>
    <w:family w:val="auto"/>
    <w:pitch w:val="default"/>
    <w:embedRegular r:id="rId5" w:fontKey="{7768B430-0B21-4CD3-949C-A0F9B3E05206}"/>
  </w:font>
  <w:font w:name="Aptos Display">
    <w:charset w:val="00"/>
    <w:family w:val="swiss"/>
    <w:pitch w:val="variable"/>
    <w:sig w:usb0="20000287" w:usb1="00000003" w:usb2="00000000" w:usb3="00000000" w:csb0="0000019F" w:csb1="00000000"/>
    <w:embedRegular r:id="rId6" w:fontKey="{A9A7A62E-713F-4FFA-AE8E-B629A45E535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8C0766BB-29A5-4D41-B4E9-3E9658786A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F" w14:textId="7600DF3F" w:rsidR="00D24D63" w:rsidRDefault="001A3940">
    <w:pPr>
      <w:jc w:val="right"/>
    </w:pPr>
    <w:r>
      <w:fldChar w:fldCharType="begin"/>
    </w:r>
    <w:r>
      <w:instrText>PAGE</w:instrText>
    </w:r>
    <w:r>
      <w:fldChar w:fldCharType="separate"/>
    </w:r>
    <w:r w:rsidR="003051D7">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00" w14:textId="77777777" w:rsidR="00D24D63" w:rsidRDefault="00D24D63">
    <w:pPr>
      <w:jc w:val="right"/>
      <w:rPr>
        <w:b/>
        <w:bCs/>
        <w:color w:val="0B5394"/>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027C0" w14:textId="77777777" w:rsidR="003418E7" w:rsidRDefault="003418E7">
      <w:pPr>
        <w:spacing w:line="240" w:lineRule="auto"/>
      </w:pPr>
      <w:r>
        <w:separator/>
      </w:r>
    </w:p>
  </w:footnote>
  <w:footnote w:type="continuationSeparator" w:id="0">
    <w:p w14:paraId="5E3917B8" w14:textId="77777777" w:rsidR="003418E7" w:rsidRDefault="003418E7">
      <w:pPr>
        <w:spacing w:line="240" w:lineRule="auto"/>
      </w:pPr>
      <w:r>
        <w:continuationSeparator/>
      </w:r>
    </w:p>
  </w:footnote>
  <w:footnote w:id="1">
    <w:p w14:paraId="000002F8" w14:textId="77777777" w:rsidR="00D24D63" w:rsidRDefault="001A3940">
      <w:pPr>
        <w:pBdr>
          <w:top w:val="nil"/>
          <w:left w:val="nil"/>
          <w:bottom w:val="nil"/>
          <w:right w:val="nil"/>
          <w:between w:val="nil"/>
        </w:pBdr>
        <w:spacing w:line="240" w:lineRule="auto"/>
        <w:rPr>
          <w:color w:val="1155CC"/>
          <w:sz w:val="20"/>
          <w:szCs w:val="20"/>
          <w:u w:val="single"/>
        </w:rPr>
      </w:pPr>
      <w:r>
        <w:rPr>
          <w:vertAlign w:val="superscript"/>
        </w:rPr>
        <w:footnoteRef/>
      </w:r>
      <w:r>
        <w:rPr>
          <w:color w:val="1155CC"/>
          <w:sz w:val="20"/>
          <w:szCs w:val="20"/>
          <w:u w:val="single"/>
        </w:rPr>
        <w:t xml:space="preserve"> </w:t>
      </w:r>
      <w:hyperlink r:id="rId1">
        <w:r w:rsidR="00D24D63">
          <w:rPr>
            <w:color w:val="1155CC"/>
            <w:sz w:val="20"/>
            <w:szCs w:val="20"/>
            <w:u w:val="single"/>
          </w:rPr>
          <w:t>https://gtr.ukri.org/</w:t>
        </w:r>
      </w:hyperlink>
    </w:p>
  </w:footnote>
  <w:footnote w:id="2">
    <w:p w14:paraId="000002F9" w14:textId="77777777" w:rsidR="00D24D63" w:rsidRDefault="001A3940">
      <w:pPr>
        <w:pBdr>
          <w:top w:val="nil"/>
          <w:left w:val="nil"/>
          <w:bottom w:val="nil"/>
          <w:right w:val="nil"/>
          <w:between w:val="nil"/>
        </w:pBdr>
        <w:spacing w:line="240" w:lineRule="auto"/>
        <w:rPr>
          <w:color w:val="1155CC"/>
          <w:sz w:val="20"/>
          <w:szCs w:val="20"/>
          <w:u w:val="single"/>
        </w:rPr>
      </w:pPr>
      <w:r>
        <w:rPr>
          <w:vertAlign w:val="superscript"/>
        </w:rPr>
        <w:footnoteRef/>
      </w:r>
      <w:r>
        <w:rPr>
          <w:color w:val="1155CC"/>
          <w:sz w:val="20"/>
          <w:szCs w:val="20"/>
          <w:u w:val="single"/>
        </w:rPr>
        <w:t xml:space="preserve"> </w:t>
      </w:r>
      <w:hyperlink r:id="rId2">
        <w:r w:rsidR="00D24D63">
          <w:rPr>
            <w:color w:val="1155CC"/>
            <w:sz w:val="20"/>
            <w:szCs w:val="20"/>
            <w:u w:val="single"/>
          </w:rPr>
          <w:t>https://www.recoup.org/resources/reports/</w:t>
        </w:r>
      </w:hyperlink>
      <w:r>
        <w:rPr>
          <w:color w:val="1155CC"/>
          <w:sz w:val="20"/>
          <w:szCs w:val="20"/>
          <w:u w:val="single"/>
        </w:rPr>
        <w:t xml:space="preserve"> </w:t>
      </w:r>
    </w:p>
  </w:footnote>
  <w:footnote w:id="3">
    <w:p w14:paraId="000002FA" w14:textId="77777777" w:rsidR="00D24D63" w:rsidRDefault="001A3940">
      <w:pPr>
        <w:spacing w:line="240" w:lineRule="auto"/>
        <w:rPr>
          <w:sz w:val="20"/>
          <w:szCs w:val="20"/>
        </w:rPr>
      </w:pPr>
      <w:r>
        <w:rPr>
          <w:vertAlign w:val="superscript"/>
        </w:rPr>
        <w:footnoteRef/>
      </w:r>
      <w:hyperlink r:id="rId3">
        <w:r w:rsidR="00D24D63">
          <w:rPr>
            <w:color w:val="1155CC"/>
            <w:sz w:val="20"/>
            <w:szCs w:val="20"/>
            <w:u w:val="single"/>
          </w:rPr>
          <w:t>https://www.ellenmacarthurfoundation.org/explore?sortBy=dateDesc&amp;contentType=CaseStudy&amp;geography=Europe</w:t>
        </w:r>
      </w:hyperlink>
    </w:p>
    <w:p w14:paraId="000002FB" w14:textId="77777777" w:rsidR="00D24D63" w:rsidRDefault="001A3940">
      <w:pPr>
        <w:spacing w:line="240" w:lineRule="auto"/>
        <w:rPr>
          <w:sz w:val="20"/>
          <w:szCs w:val="20"/>
        </w:rPr>
      </w:pPr>
      <w:r>
        <w:rPr>
          <w:sz w:val="20"/>
          <w:szCs w:val="20"/>
          <w:vertAlign w:val="superscript"/>
        </w:rPr>
        <w:t>4</w:t>
      </w:r>
      <w:r>
        <w:rPr>
          <w:sz w:val="20"/>
          <w:szCs w:val="20"/>
        </w:rPr>
        <w:t xml:space="preserve"> </w:t>
      </w:r>
      <w:hyperlink r:id="rId4">
        <w:r w:rsidR="00D24D63">
          <w:rPr>
            <w:color w:val="1155CC"/>
            <w:sz w:val="20"/>
            <w:szCs w:val="20"/>
            <w:u w:val="single"/>
          </w:rPr>
          <w:t>https://www.ukri.org/councils/ahrc/</w:t>
        </w:r>
      </w:hyperlink>
    </w:p>
    <w:p w14:paraId="000002FC" w14:textId="77777777" w:rsidR="00D24D63" w:rsidRDefault="001A3940">
      <w:pPr>
        <w:spacing w:line="240" w:lineRule="auto"/>
        <w:rPr>
          <w:sz w:val="20"/>
          <w:szCs w:val="20"/>
        </w:rPr>
      </w:pPr>
      <w:r>
        <w:rPr>
          <w:sz w:val="20"/>
          <w:szCs w:val="20"/>
          <w:vertAlign w:val="superscript"/>
        </w:rPr>
        <w:t>5</w:t>
      </w:r>
      <w:r>
        <w:rPr>
          <w:sz w:val="20"/>
          <w:szCs w:val="20"/>
        </w:rPr>
        <w:t xml:space="preserve"> </w:t>
      </w:r>
      <w:hyperlink r:id="rId5">
        <w:r w:rsidR="00D24D63">
          <w:rPr>
            <w:color w:val="1155CC"/>
            <w:sz w:val="20"/>
            <w:szCs w:val="20"/>
            <w:u w:val="single"/>
          </w:rPr>
          <w:t>https://www.ukri.org/councils/bbsrc/</w:t>
        </w:r>
      </w:hyperlink>
    </w:p>
    <w:p w14:paraId="000002FD" w14:textId="77777777" w:rsidR="00D24D63" w:rsidRDefault="001A3940">
      <w:pPr>
        <w:spacing w:line="240" w:lineRule="auto"/>
        <w:rPr>
          <w:sz w:val="20"/>
          <w:szCs w:val="20"/>
        </w:rPr>
      </w:pPr>
      <w:r>
        <w:rPr>
          <w:color w:val="1155CC"/>
          <w:sz w:val="20"/>
          <w:szCs w:val="20"/>
          <w:u w:val="single"/>
          <w:vertAlign w:val="superscript"/>
        </w:rPr>
        <w:t>6</w:t>
      </w:r>
      <w:r>
        <w:rPr>
          <w:color w:val="1155CC"/>
          <w:sz w:val="20"/>
          <w:szCs w:val="20"/>
          <w:u w:val="single"/>
        </w:rPr>
        <w:t xml:space="preserve"> https://www.ukri.org/councils/epsrc/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E" w14:textId="77777777" w:rsidR="00D24D63" w:rsidRDefault="00D24D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57A3"/>
    <w:multiLevelType w:val="multilevel"/>
    <w:tmpl w:val="95A67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A63D2"/>
    <w:multiLevelType w:val="multilevel"/>
    <w:tmpl w:val="86F8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4E5481"/>
    <w:multiLevelType w:val="multilevel"/>
    <w:tmpl w:val="4E4AF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923552"/>
    <w:multiLevelType w:val="multilevel"/>
    <w:tmpl w:val="89586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3029D0"/>
    <w:multiLevelType w:val="multilevel"/>
    <w:tmpl w:val="AECEC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4C1736"/>
    <w:multiLevelType w:val="multilevel"/>
    <w:tmpl w:val="65422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1C5755"/>
    <w:multiLevelType w:val="multilevel"/>
    <w:tmpl w:val="597C4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366A18"/>
    <w:multiLevelType w:val="multilevel"/>
    <w:tmpl w:val="C128B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9B089F"/>
    <w:multiLevelType w:val="multilevel"/>
    <w:tmpl w:val="F7F66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5375A4"/>
    <w:multiLevelType w:val="multilevel"/>
    <w:tmpl w:val="B9F23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F06162"/>
    <w:multiLevelType w:val="multilevel"/>
    <w:tmpl w:val="5F48A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D94D81"/>
    <w:multiLevelType w:val="multilevel"/>
    <w:tmpl w:val="2AC4E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6D22D8"/>
    <w:multiLevelType w:val="multilevel"/>
    <w:tmpl w:val="F552E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7560B3"/>
    <w:multiLevelType w:val="multilevel"/>
    <w:tmpl w:val="F8B28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B120A2"/>
    <w:multiLevelType w:val="multilevel"/>
    <w:tmpl w:val="531E3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3353AC"/>
    <w:multiLevelType w:val="multilevel"/>
    <w:tmpl w:val="8F0C4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3B176A"/>
    <w:multiLevelType w:val="multilevel"/>
    <w:tmpl w:val="E53E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820605"/>
    <w:multiLevelType w:val="multilevel"/>
    <w:tmpl w:val="2DEC4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05113B"/>
    <w:multiLevelType w:val="multilevel"/>
    <w:tmpl w:val="65C83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B76BC1"/>
    <w:multiLevelType w:val="multilevel"/>
    <w:tmpl w:val="295AD5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86C4FEE"/>
    <w:multiLevelType w:val="multilevel"/>
    <w:tmpl w:val="554C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D1000D"/>
    <w:multiLevelType w:val="multilevel"/>
    <w:tmpl w:val="1F6A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4774D1"/>
    <w:multiLevelType w:val="multilevel"/>
    <w:tmpl w:val="79F04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673D3E"/>
    <w:multiLevelType w:val="multilevel"/>
    <w:tmpl w:val="5C54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C40136"/>
    <w:multiLevelType w:val="multilevel"/>
    <w:tmpl w:val="2FD80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3611607">
    <w:abstractNumId w:val="12"/>
  </w:num>
  <w:num w:numId="2" w16cid:durableId="1435243761">
    <w:abstractNumId w:val="5"/>
  </w:num>
  <w:num w:numId="3" w16cid:durableId="880745186">
    <w:abstractNumId w:val="7"/>
  </w:num>
  <w:num w:numId="4" w16cid:durableId="2126078950">
    <w:abstractNumId w:val="22"/>
  </w:num>
  <w:num w:numId="5" w16cid:durableId="1339311765">
    <w:abstractNumId w:val="18"/>
  </w:num>
  <w:num w:numId="6" w16cid:durableId="1022822747">
    <w:abstractNumId w:val="16"/>
  </w:num>
  <w:num w:numId="7" w16cid:durableId="860509077">
    <w:abstractNumId w:val="3"/>
  </w:num>
  <w:num w:numId="8" w16cid:durableId="227499219">
    <w:abstractNumId w:val="24"/>
  </w:num>
  <w:num w:numId="9" w16cid:durableId="1567691867">
    <w:abstractNumId w:val="2"/>
  </w:num>
  <w:num w:numId="10" w16cid:durableId="456877243">
    <w:abstractNumId w:val="8"/>
  </w:num>
  <w:num w:numId="11" w16cid:durableId="2125222594">
    <w:abstractNumId w:val="10"/>
  </w:num>
  <w:num w:numId="12" w16cid:durableId="1307780327">
    <w:abstractNumId w:val="20"/>
  </w:num>
  <w:num w:numId="13" w16cid:durableId="331030464">
    <w:abstractNumId w:val="4"/>
  </w:num>
  <w:num w:numId="14" w16cid:durableId="193353155">
    <w:abstractNumId w:val="17"/>
  </w:num>
  <w:num w:numId="15" w16cid:durableId="1268657221">
    <w:abstractNumId w:val="0"/>
  </w:num>
  <w:num w:numId="16" w16cid:durableId="1766339525">
    <w:abstractNumId w:val="1"/>
  </w:num>
  <w:num w:numId="17" w16cid:durableId="1355496613">
    <w:abstractNumId w:val="14"/>
  </w:num>
  <w:num w:numId="18" w16cid:durableId="1905992151">
    <w:abstractNumId w:val="21"/>
  </w:num>
  <w:num w:numId="19" w16cid:durableId="423303971">
    <w:abstractNumId w:val="11"/>
  </w:num>
  <w:num w:numId="20" w16cid:durableId="11036982">
    <w:abstractNumId w:val="15"/>
  </w:num>
  <w:num w:numId="21" w16cid:durableId="1765960002">
    <w:abstractNumId w:val="23"/>
  </w:num>
  <w:num w:numId="22" w16cid:durableId="1297830588">
    <w:abstractNumId w:val="13"/>
  </w:num>
  <w:num w:numId="23" w16cid:durableId="693071664">
    <w:abstractNumId w:val="6"/>
  </w:num>
  <w:num w:numId="24" w16cid:durableId="1063943395">
    <w:abstractNumId w:val="19"/>
  </w:num>
  <w:num w:numId="25" w16cid:durableId="18147127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D63"/>
    <w:rsid w:val="000D6BCB"/>
    <w:rsid w:val="001A3940"/>
    <w:rsid w:val="002360D1"/>
    <w:rsid w:val="0026464F"/>
    <w:rsid w:val="00273F5F"/>
    <w:rsid w:val="003051D7"/>
    <w:rsid w:val="0033244E"/>
    <w:rsid w:val="00332953"/>
    <w:rsid w:val="003418E7"/>
    <w:rsid w:val="0039380E"/>
    <w:rsid w:val="00404B72"/>
    <w:rsid w:val="004E6C25"/>
    <w:rsid w:val="00580EF0"/>
    <w:rsid w:val="00581396"/>
    <w:rsid w:val="005B610B"/>
    <w:rsid w:val="005C6F34"/>
    <w:rsid w:val="00615E97"/>
    <w:rsid w:val="0065254E"/>
    <w:rsid w:val="006A16DD"/>
    <w:rsid w:val="006B1368"/>
    <w:rsid w:val="00704BB0"/>
    <w:rsid w:val="00752303"/>
    <w:rsid w:val="00766ECA"/>
    <w:rsid w:val="007A1D36"/>
    <w:rsid w:val="007B63A9"/>
    <w:rsid w:val="00816D29"/>
    <w:rsid w:val="008203AA"/>
    <w:rsid w:val="0087217B"/>
    <w:rsid w:val="008C45BC"/>
    <w:rsid w:val="009C67B8"/>
    <w:rsid w:val="009F047F"/>
    <w:rsid w:val="00AC1D0C"/>
    <w:rsid w:val="00B54CF0"/>
    <w:rsid w:val="00B5531A"/>
    <w:rsid w:val="00CC484E"/>
    <w:rsid w:val="00D24D63"/>
    <w:rsid w:val="00DB54BE"/>
    <w:rsid w:val="00E7415B"/>
    <w:rsid w:val="00E93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771DF"/>
  <w15:docId w15:val="{1F3E7256-AE7D-474C-903B-B239383E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GB" w:eastAsia="en-GB" w:bidi="ar-SA"/>
      </w:rPr>
    </w:rPrDefault>
    <w:pPrDefault>
      <w:pPr>
        <w:spacing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color w:val="0B5394"/>
      <w:sz w:val="32"/>
      <w:szCs w:val="32"/>
    </w:rPr>
  </w:style>
  <w:style w:type="paragraph" w:styleId="Heading2">
    <w:name w:val="heading 2"/>
    <w:basedOn w:val="Normal"/>
    <w:next w:val="Normal"/>
    <w:link w:val="Heading2Char"/>
    <w:uiPriority w:val="9"/>
    <w:unhideWhenUsed/>
    <w:qFormat/>
    <w:pPr>
      <w:keepNext/>
      <w:keepLines/>
      <w:outlineLvl w:val="1"/>
    </w:pPr>
    <w:rPr>
      <w:b/>
      <w:bCs/>
      <w:color w:val="3D85C6"/>
      <w:sz w:val="26"/>
      <w:szCs w:val="26"/>
    </w:rPr>
  </w:style>
  <w:style w:type="paragraph" w:styleId="Heading3">
    <w:name w:val="heading 3"/>
    <w:basedOn w:val="Normal"/>
    <w:next w:val="Normal"/>
    <w:link w:val="Heading3Char"/>
    <w:uiPriority w:val="9"/>
    <w:unhideWhenUsed/>
    <w:qFormat/>
    <w:pPr>
      <w:keepNext/>
      <w:keepLines/>
      <w:outlineLvl w:val="2"/>
    </w:pPr>
    <w:rPr>
      <w:b/>
      <w:bCs/>
      <w:color w:val="76A5AF"/>
      <w:sz w:val="24"/>
      <w:szCs w:val="24"/>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6971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71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71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1"/>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971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71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71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71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71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71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71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71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71CD"/>
    <w:rPr>
      <w:rFonts w:eastAsiaTheme="majorEastAsia" w:cstheme="majorBidi"/>
      <w:color w:val="272727" w:themeColor="text1" w:themeTint="D8"/>
    </w:rPr>
  </w:style>
  <w:style w:type="character" w:customStyle="1" w:styleId="TitleChar">
    <w:name w:val="Title Char"/>
    <w:basedOn w:val="DefaultParagraphFont"/>
    <w:link w:val="Title"/>
    <w:uiPriority w:val="10"/>
    <w:rsid w:val="006971C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971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71CD"/>
    <w:pPr>
      <w:spacing w:before="160"/>
      <w:jc w:val="center"/>
    </w:pPr>
    <w:rPr>
      <w:i/>
      <w:iCs/>
      <w:color w:val="404040" w:themeColor="text1" w:themeTint="BF"/>
    </w:rPr>
  </w:style>
  <w:style w:type="character" w:customStyle="1" w:styleId="QuoteChar">
    <w:name w:val="Quote Char"/>
    <w:basedOn w:val="DefaultParagraphFont"/>
    <w:link w:val="Quote"/>
    <w:uiPriority w:val="29"/>
    <w:rsid w:val="006971CD"/>
    <w:rPr>
      <w:i/>
      <w:iCs/>
      <w:color w:val="404040" w:themeColor="text1" w:themeTint="BF"/>
    </w:rPr>
  </w:style>
  <w:style w:type="paragraph" w:styleId="ListParagraph">
    <w:name w:val="List Paragraph"/>
    <w:basedOn w:val="Normal"/>
    <w:uiPriority w:val="34"/>
    <w:qFormat/>
    <w:rsid w:val="006971CD"/>
    <w:pPr>
      <w:ind w:left="720"/>
      <w:contextualSpacing/>
    </w:pPr>
  </w:style>
  <w:style w:type="character" w:styleId="IntenseEmphasis">
    <w:name w:val="Intense Emphasis"/>
    <w:basedOn w:val="DefaultParagraphFont"/>
    <w:uiPriority w:val="21"/>
    <w:qFormat/>
    <w:rsid w:val="006971CD"/>
    <w:rPr>
      <w:i/>
      <w:iCs/>
      <w:color w:val="0F4761" w:themeColor="accent1" w:themeShade="BF"/>
    </w:rPr>
  </w:style>
  <w:style w:type="paragraph" w:styleId="IntenseQuote">
    <w:name w:val="Intense Quote"/>
    <w:basedOn w:val="Normal"/>
    <w:next w:val="Normal"/>
    <w:link w:val="IntenseQuoteChar"/>
    <w:uiPriority w:val="30"/>
    <w:qFormat/>
    <w:rsid w:val="006971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71CD"/>
    <w:rPr>
      <w:i/>
      <w:iCs/>
      <w:color w:val="0F4761" w:themeColor="accent1" w:themeShade="BF"/>
    </w:rPr>
  </w:style>
  <w:style w:type="character" w:styleId="IntenseReference">
    <w:name w:val="Intense Reference"/>
    <w:basedOn w:val="DefaultParagraphFont"/>
    <w:uiPriority w:val="32"/>
    <w:qFormat/>
    <w:rsid w:val="006971CD"/>
    <w:rPr>
      <w:b/>
      <w:bCs/>
      <w:smallCaps/>
      <w:color w:val="0F4761" w:themeColor="accent1" w:themeShade="BF"/>
      <w:spacing w:val="5"/>
    </w:rPr>
  </w:style>
  <w:style w:type="paragraph" w:customStyle="1" w:styleId="p1">
    <w:name w:val="p1"/>
    <w:basedOn w:val="Normal"/>
    <w:rsid w:val="006971CD"/>
    <w:pPr>
      <w:spacing w:before="100" w:beforeAutospacing="1" w:after="100" w:afterAutospacing="1" w:line="240" w:lineRule="auto"/>
    </w:pPr>
    <w:rPr>
      <w:rFonts w:ascii="Times New Roman" w:eastAsia="Times New Roman" w:hAnsi="Times New Roman" w:cs="Times New Roman"/>
    </w:rPr>
  </w:style>
  <w:style w:type="character" w:customStyle="1" w:styleId="s1">
    <w:name w:val="s1"/>
    <w:basedOn w:val="DefaultParagraphFont"/>
    <w:rsid w:val="006971CD"/>
  </w:style>
  <w:style w:type="table" w:styleId="TableGrid">
    <w:name w:val="Table Grid"/>
    <w:basedOn w:val="TableNormal"/>
    <w:uiPriority w:val="39"/>
    <w:rsid w:val="006971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pPr>
      <w:spacing w:line="240" w:lineRule="auto"/>
    </w:pPr>
    <w:tblPr>
      <w:tblStyleRowBandSize w:val="1"/>
      <w:tblStyleColBandSize w:val="1"/>
    </w:tblPr>
  </w:style>
  <w:style w:type="table" w:customStyle="1" w:styleId="9">
    <w:name w:val="9"/>
    <w:basedOn w:val="TableNormal"/>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D3C31"/>
    <w:rPr>
      <w:b/>
      <w:bCs/>
    </w:rPr>
  </w:style>
  <w:style w:type="character" w:customStyle="1" w:styleId="CommentSubjectChar">
    <w:name w:val="Comment Subject Char"/>
    <w:basedOn w:val="CommentTextChar"/>
    <w:link w:val="CommentSubject"/>
    <w:uiPriority w:val="99"/>
    <w:semiHidden/>
    <w:rsid w:val="009D3C31"/>
    <w:rPr>
      <w:b/>
      <w:bCs/>
      <w:sz w:val="20"/>
      <w:szCs w:val="20"/>
    </w:rPr>
  </w:style>
  <w:style w:type="paragraph" w:styleId="Revision">
    <w:name w:val="Revision"/>
    <w:hidden/>
    <w:uiPriority w:val="99"/>
    <w:semiHidden/>
    <w:rsid w:val="009B064A"/>
    <w:pPr>
      <w:spacing w:line="240" w:lineRule="auto"/>
      <w:jc w:val="left"/>
    </w:pPr>
  </w:style>
  <w:style w:type="paragraph" w:styleId="Header">
    <w:name w:val="header"/>
    <w:basedOn w:val="Normal"/>
    <w:link w:val="HeaderChar"/>
    <w:uiPriority w:val="99"/>
    <w:semiHidden/>
    <w:unhideWhenUsed/>
    <w:rsid w:val="00A8172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A81727"/>
  </w:style>
  <w:style w:type="paragraph" w:styleId="Footer">
    <w:name w:val="footer"/>
    <w:basedOn w:val="Normal"/>
    <w:link w:val="FooterChar"/>
    <w:uiPriority w:val="99"/>
    <w:semiHidden/>
    <w:unhideWhenUsed/>
    <w:rsid w:val="00A81727"/>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A81727"/>
  </w:style>
  <w:style w:type="paragraph" w:styleId="Subtitle">
    <w:name w:val="Subtitle"/>
    <w:basedOn w:val="Normal"/>
    <w:next w:val="Normal"/>
    <w:link w:val="SubtitleChar"/>
    <w:uiPriority w:val="11"/>
    <w:qFormat/>
    <w:rPr>
      <w:color w:val="595959"/>
      <w:sz w:val="28"/>
      <w:szCs w:val="28"/>
    </w:r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pPr>
      <w:spacing w:line="240" w:lineRule="auto"/>
    </w:pPr>
    <w:tblPr>
      <w:tblStyleRowBandSize w:val="1"/>
      <w:tblStyleColBandSize w:val="1"/>
    </w:tblPr>
  </w:style>
  <w:style w:type="table" w:customStyle="1" w:styleId="1">
    <w:name w:val="1"/>
    <w:basedOn w:val="TableNormal"/>
    <w:tblPr>
      <w:tblStyleRowBandSize w:val="1"/>
      <w:tblStyleColBandSize w:val="1"/>
    </w:tblPr>
  </w:style>
  <w:style w:type="paragraph" w:customStyle="1" w:styleId="p2">
    <w:name w:val="p2"/>
    <w:basedOn w:val="Normal"/>
    <w:rsid w:val="00704BB0"/>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envar.co.uk/ground-coffee-recycling-jute-coffe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ecd.org/content/dam/oecd/en/publications/reports/2025/02/economic-instruments-for-a-resource-efficient-circular-economy_a0acfd50/35a7051a-en.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1007/s43615-021-00053-w" TargetMode="External"/><Relationship Id="rId25" Type="http://schemas.openxmlformats.org/officeDocument/2006/relationships/hyperlink" Target="https://www.tesco.com/groceries/en-GB/zone/4Rs?mi_u=cf5e1752-0e81-4a14-a08e-ecf5e759eda7" TargetMode="External"/><Relationship Id="rId2" Type="http://schemas.openxmlformats.org/officeDocument/2006/relationships/customXml" Target="../customXml/item2.xml"/><Relationship Id="rId16" Type="http://schemas.openxmlformats.org/officeDocument/2006/relationships/hyperlink" Target="https://doi.org/10.1016/j.resconrec.2024.108060" TargetMode="External"/><Relationship Id="rId20" Type="http://schemas.openxmlformats.org/officeDocument/2006/relationships/hyperlink" Target="https://plasticspolicy.port.ac.uk/research/reuse-policy-brie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esco.com/groceries/" TargetMode="External"/><Relationship Id="rId5" Type="http://schemas.openxmlformats.org/officeDocument/2006/relationships/customXml" Target="../customXml/item5.xml"/><Relationship Id="rId15" Type="http://schemas.openxmlformats.org/officeDocument/2006/relationships/hyperlink" Target="https://doi.org/10.1007/s43615-025-00669-2" TargetMode="External"/><Relationship Id="rId23" Type="http://schemas.openxmlformats.org/officeDocument/2006/relationships/hyperlink" Target="https://www.chathamhouse.org/sites/default/files/2021-07/2021-07-16-inclusive-circular-economy-schroder-raes.pdf"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plasticspolicy.port.ac.uk/research/europe-reuse-policy-brie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doi.org/10.1016/j.resconrec.2017.08.027"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llenmacarthurfoundation.org/explore?sortBy=dateDesc&amp;contentType=CaseStudy&amp;geography=Europe" TargetMode="External"/><Relationship Id="rId2" Type="http://schemas.openxmlformats.org/officeDocument/2006/relationships/hyperlink" Target="https://www.recoup.org/resources/reports/" TargetMode="External"/><Relationship Id="rId1" Type="http://schemas.openxmlformats.org/officeDocument/2006/relationships/hyperlink" Target="https://gtr.ukri.org/" TargetMode="External"/><Relationship Id="rId5" Type="http://schemas.openxmlformats.org/officeDocument/2006/relationships/hyperlink" Target="https://www.ukri.org/councils/bbsrc/" TargetMode="External"/><Relationship Id="rId4" Type="http://schemas.openxmlformats.org/officeDocument/2006/relationships/hyperlink" Target="https://www.ukri.org/councils/ah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Science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20</Value>
      <Value>10</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Materials and Waste Evidence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TaxCatchAllLabel xmlns="662745e8-e224-48e8-a2e3-254862b8c2f5" xsi:nil="true"/>
    <dlc_EmailSubject xmlns="4a1309aa-6465-46ff-a0c7-bd0c70d98d8d" xsi:nil="true"/>
    <dlc_EmailTo xmlns="4a1309aa-6465-46ff-a0c7-bd0c70d98d8d" xsi:nil="true"/>
    <bcb1675984d34ae3a1ed6b6e433c98de xmlns="4a1309aa-6465-46ff-a0c7-bd0c70d98d8d">
      <Terms xmlns="http://schemas.microsoft.com/office/infopath/2007/PartnerControls"/>
    </bcb1675984d34ae3a1ed6b6e433c98de>
    <dlc_EmailCC xmlns="4a1309aa-6465-46ff-a0c7-bd0c70d98d8d" xsi:nil="true"/>
    <peb8f3fab875401ca34a9f28cac46400 xmlns="4a1309aa-6465-46ff-a0c7-bd0c70d98d8d">
      <Terms xmlns="http://schemas.microsoft.com/office/infopath/2007/PartnerControls"/>
    </peb8f3fab875401ca34a9f28cac46400>
    <dlc_EmailSentUTC xmlns="4a1309aa-6465-46ff-a0c7-bd0c70d98d8d" xsi:nil="true"/>
    <dlc_EmailFrom xmlns="4a1309aa-6465-46ff-a0c7-bd0c70d98d8d" xsi:nil="true"/>
    <dlc_EmailReceivedUTC xmlns="4a1309aa-6465-46ff-a0c7-bd0c70d98d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FF1594923BB424BB03896249AEA7C56" ma:contentTypeVersion="50" ma:contentTypeDescription="new Document or upload" ma:contentTypeScope="" ma:versionID="88db3da6d50ad307938a310c2c370eec">
  <xsd:schema xmlns:xsd="http://www.w3.org/2001/XMLSchema" xmlns:xs="http://www.w3.org/2001/XMLSchema" xmlns:p="http://schemas.microsoft.com/office/2006/metadata/properties" xmlns:ns2="662745e8-e224-48e8-a2e3-254862b8c2f5" xmlns:ns3="4a1309aa-6465-46ff-a0c7-bd0c70d98d8d" targetNamespace="http://schemas.microsoft.com/office/2006/metadata/properties" ma:root="true" ma:fieldsID="4c3f6789c4609c4cc56a328c1c0bc56e" ns2:_="" ns3:_="">
    <xsd:import namespace="662745e8-e224-48e8-a2e3-254862b8c2f5"/>
    <xsd:import namespace="4a1309aa-6465-46ff-a0c7-bd0c70d98d8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dlc_EmailTo" minOccurs="0"/>
                <xsd:element ref="ns3:dlc_EmailFrom" minOccurs="0"/>
                <xsd:element ref="ns3:dlc_EmailCC" minOccurs="0"/>
                <xsd:element ref="ns3:bcb1675984d34ae3a1ed6b6e433c98de" minOccurs="0"/>
                <xsd:element ref="ns3:peb8f3fab875401ca34a9f28cac46400" minOccurs="0"/>
                <xsd:element ref="ns3:dlc_EmailReceivedUTC" minOccurs="0"/>
                <xsd:element ref="ns3:dlc_EmailSubject" minOccurs="0"/>
                <xsd:element ref="ns3:dlc_EmailSentUT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6373c4b-c57f-4fb9-85e1-35bd2ed72190}" ma:internalName="TaxCatchAll" ma:readOnly="false" ma:showField="CatchAllData" ma:web="4a1309aa-6465-46ff-a0c7-bd0c70d98d8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6373c4b-c57f-4fb9-85e1-35bd2ed72190}" ma:internalName="TaxCatchAllLabel" ma:readOnly="false" ma:showField="CatchAllDataLabel" ma:web="4a1309aa-6465-46ff-a0c7-bd0c70d98d8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Chief Scientific Adviser" ma:internalName="Team" ma:readOnly="false">
      <xsd:simpleType>
        <xsd:restriction base="dms:Text"/>
      </xsd:simpleType>
    </xsd:element>
    <xsd:element name="Topic" ma:index="20" nillable="true" ma:displayName="Topic" ma:default="Science and Engineering Professio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1309aa-6465-46ff-a0c7-bd0c70d98d8d" elementFormDefault="qualified">
    <xsd:import namespace="http://schemas.microsoft.com/office/2006/documentManagement/types"/>
    <xsd:import namespace="http://schemas.microsoft.com/office/infopath/2007/PartnerControls"/>
    <xsd:element name="dlc_EmailTo" ma:index="25" nillable="true" ma:displayName="To" ma:internalName="dlc_EmailTo" ma:readOnly="false">
      <xsd:simpleType>
        <xsd:restriction base="dms:Note"/>
      </xsd:simpleType>
    </xsd:element>
    <xsd:element name="dlc_EmailFrom" ma:index="27" nillable="true" ma:displayName="From" ma:internalName="dlc_EmailFrom" ma:readOnly="false">
      <xsd:simpleType>
        <xsd:restriction base="dms:Text">
          <xsd:maxLength value="255"/>
        </xsd:restriction>
      </xsd:simpleType>
    </xsd:element>
    <xsd:element name="dlc_EmailCC" ma:index="28" nillable="true" ma:displayName="CC" ma:internalName="dlc_EmailCC" ma:readOnly="false">
      <xsd:simpleType>
        <xsd:restriction base="dms:Note">
          <xsd:maxLength value="255"/>
        </xsd:restriction>
      </xsd:simpleType>
    </xsd:element>
    <xsd:element name="bcb1675984d34ae3a1ed6b6e433c98de" ma:index="29"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31"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element name="dlc_EmailReceivedUTC" ma:index="32" nillable="true" ma:displayName="Date Received" ma:format="DateTime" ma:internalName="dlc_EmailReceivedUTC" ma:readOnly="false">
      <xsd:simpleType>
        <xsd:restriction base="dms:DateTime"/>
      </xsd:simpleType>
    </xsd:element>
    <xsd:element name="dlc_EmailSubject" ma:index="33" nillable="true" ma:displayName="Subject" ma:internalName="dlc_EmailSubject" ma:readOnly="false">
      <xsd:simpleType>
        <xsd:restriction base="dms:Note"/>
      </xsd:simpleType>
    </xsd:element>
    <xsd:element name="dlc_EmailSentUTC" ma:index="34" nillable="true" ma:displayName="Date Sent" ma:format="DateTime" ma:internalName="dlc_EmailSentUTC"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d/3/zUHETXf81klHbHwmAqkiQw==">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</go:docsCustomData>
</go:gDocsCustomXmlDataStorage>
</file>

<file path=customXml/itemProps1.xml><?xml version="1.0" encoding="utf-8"?>
<ds:datastoreItem xmlns:ds="http://schemas.openxmlformats.org/officeDocument/2006/customXml" ds:itemID="{014CBB15-6EFF-4139-9766-C4112D4D5C8F}">
  <ds:schemaRefs>
    <ds:schemaRef ds:uri="http://schemas.microsoft.com/sharepoint/v3/contenttype/forms"/>
  </ds:schemaRefs>
</ds:datastoreItem>
</file>

<file path=customXml/itemProps2.xml><?xml version="1.0" encoding="utf-8"?>
<ds:datastoreItem xmlns:ds="http://schemas.openxmlformats.org/officeDocument/2006/customXml" ds:itemID="{CD3473B6-69EA-47BA-8163-7FE07BAB155E}">
  <ds:schemaRefs>
    <ds:schemaRef ds:uri="http://schemas.microsoft.com/office/2006/metadata/properties"/>
    <ds:schemaRef ds:uri="http://schemas.microsoft.com/office/infopath/2007/PartnerControls"/>
    <ds:schemaRef ds:uri="662745e8-e224-48e8-a2e3-254862b8c2f5"/>
    <ds:schemaRef ds:uri="20237dad-a1ff-4c48-9f35-3ed3a40e4ad3"/>
  </ds:schemaRefs>
</ds:datastoreItem>
</file>

<file path=customXml/itemProps3.xml><?xml version="1.0" encoding="utf-8"?>
<ds:datastoreItem xmlns:ds="http://schemas.openxmlformats.org/officeDocument/2006/customXml" ds:itemID="{6B26481B-F912-4F60-8DC7-FAE6D3FC8A08}"/>
</file>

<file path=customXml/itemProps4.xml><?xml version="1.0" encoding="utf-8"?>
<ds:datastoreItem xmlns:ds="http://schemas.openxmlformats.org/officeDocument/2006/customXml" ds:itemID="{B981912F-4C60-4054-9DFF-13D0385619B6}">
  <ds:schemaRefs>
    <ds:schemaRef ds:uri="Microsoft.SharePoint.Taxonomy.ContentTypeSync"/>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12299</Words>
  <Characters>70106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Antaya March</dc:creator>
  <cp:lastModifiedBy>Stacy Murtagh</cp:lastModifiedBy>
  <cp:revision>2</cp:revision>
  <dcterms:created xsi:type="dcterms:W3CDTF">2026-05-18T16:44:00Z</dcterms:created>
  <dcterms:modified xsi:type="dcterms:W3CDTF">2026-05-18T16:44:00Z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0x010100A5BF1C78D9F64B679A5EBDE1C6598EBC0100AFF1594923BB424BB03896249AEA7C56</vt:lpwstr>
  </property>
  <property fmtid="{D5CDD505-2E9C-101B-9397-08002B2CF9AE}" pid="3" name="InformationType">
    <vt:lpwstr/>
  </property>
  <property fmtid="{D5CDD505-2E9C-101B-9397-08002B2CF9AE}" pid="4" name="Distribution">
    <vt:lpwstr>20;#Internal Core Defra|836ac8df-3ab9-4c95-a1f0-07f825804935</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